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6"/>
          <w:szCs w:val="36"/>
          <w:lang w:eastAsia="zh-CN"/>
        </w:rPr>
        <w:t>第三方物流</w:t>
      </w:r>
      <w:r>
        <w:rPr>
          <w:rFonts w:hint="eastAsia"/>
          <w:b/>
          <w:sz w:val="36"/>
          <w:szCs w:val="36"/>
        </w:rPr>
        <w:t>售后仓库监管制度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一、目的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为加强对</w:t>
      </w:r>
      <w:r>
        <w:rPr>
          <w:rFonts w:hint="eastAsia"/>
          <w:sz w:val="28"/>
          <w:szCs w:val="28"/>
          <w:lang w:eastAsia="zh-CN"/>
        </w:rPr>
        <w:t>第三方</w:t>
      </w:r>
      <w:r>
        <w:rPr>
          <w:rFonts w:hint="eastAsia"/>
          <w:sz w:val="28"/>
          <w:szCs w:val="28"/>
        </w:rPr>
        <w:t>物流负责售后仓库的管控力度，提高仓库工作效率，</w:t>
      </w:r>
      <w:r>
        <w:rPr>
          <w:sz w:val="28"/>
          <w:szCs w:val="28"/>
        </w:rPr>
        <w:t>建立健全内部控制机制</w:t>
      </w:r>
      <w:r>
        <w:rPr>
          <w:rFonts w:hint="eastAsia"/>
          <w:sz w:val="28"/>
          <w:szCs w:val="28"/>
        </w:rPr>
        <w:t>，规范仓库日常工作行为，特制定本制度。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部门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作业部门：</w:t>
      </w:r>
      <w:r>
        <w:rPr>
          <w:rFonts w:hint="eastAsia"/>
          <w:sz w:val="28"/>
          <w:szCs w:val="28"/>
          <w:lang w:eastAsia="zh-CN"/>
        </w:rPr>
        <w:t>第三方</w:t>
      </w:r>
      <w:r>
        <w:rPr>
          <w:rFonts w:hint="eastAsia"/>
          <w:sz w:val="28"/>
          <w:szCs w:val="28"/>
        </w:rPr>
        <w:t>物流</w:t>
      </w:r>
    </w:p>
    <w:p>
      <w:pPr>
        <w:ind w:firstLine="555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考核部门：金龙公司配件</w:t>
      </w:r>
      <w:r>
        <w:rPr>
          <w:rFonts w:hint="eastAsia"/>
          <w:sz w:val="28"/>
          <w:szCs w:val="28"/>
          <w:lang w:eastAsia="zh-CN"/>
        </w:rPr>
        <w:t>服务部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三、具体要求</w:t>
      </w:r>
    </w:p>
    <w:p>
      <w:pPr>
        <w:ind w:firstLine="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3.1入库监管</w:t>
      </w:r>
    </w:p>
    <w:p>
      <w:pPr>
        <w:ind w:left="147" w:leftChars="70"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3.1.1 收货人员收货时，应根据采购订单入库，确认配件外包装的完好，代码标识及配件清单齐全，数量及质量核对无误后签收。如无法辨识配件应与</w:t>
      </w:r>
      <w:r>
        <w:rPr>
          <w:rFonts w:hint="eastAsia"/>
          <w:sz w:val="28"/>
          <w:szCs w:val="28"/>
          <w:lang w:eastAsia="zh-CN"/>
        </w:rPr>
        <w:t>供应</w:t>
      </w:r>
      <w:r>
        <w:rPr>
          <w:rFonts w:hint="eastAsia"/>
          <w:sz w:val="28"/>
          <w:szCs w:val="28"/>
        </w:rPr>
        <w:t>员及时联系，处理解决。</w:t>
      </w:r>
    </w:p>
    <w:p>
      <w:pPr>
        <w:ind w:left="147" w:leftChars="7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考核依据：采购订单、供应商送货交接单</w:t>
      </w:r>
    </w:p>
    <w:p>
      <w:pPr>
        <w:ind w:left="147" w:leftChars="7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考核指标：入库准确率，目标值100%，分值10分，发现一种配件入库错误扣0.5分。</w:t>
      </w:r>
    </w:p>
    <w:p>
      <w:pPr>
        <w:ind w:left="140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3.1.2每日15点以前到货配件需在当日内完成入库上架流程；15点后到货配件需在第2天上午10点前完成入库上架流程。</w:t>
      </w:r>
    </w:p>
    <w:p>
      <w:pPr>
        <w:ind w:left="141" w:leftChars="67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考核依据：货物签收时间、SAP和DMS入账时间差。</w:t>
      </w:r>
    </w:p>
    <w:p>
      <w:pPr>
        <w:ind w:left="141" w:leftChars="67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考核指标：收料入库及时率（24小时日清月结），每月入库不及时允许3次（不含供应商送错），分值10分，当月超时1次扣1分。</w:t>
      </w:r>
    </w:p>
    <w:p>
      <w:pPr>
        <w:ind w:left="141" w:leftChars="67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3.1.3 收料区应保持干净整洁，未上架配件需码放整齐，不得占用物流通道及仓库大门。</w:t>
      </w:r>
    </w:p>
    <w:p>
      <w:pPr>
        <w:ind w:firstLine="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3.2存货监管</w:t>
      </w:r>
    </w:p>
    <w:p>
      <w:pPr>
        <w:ind w:left="147" w:leftChars="7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3.2.1配件上架需按照入库单上指定储位入库，上架前应核对配件代码及数量，合并库存的要对比实物是否一致，避免出现一码多状态现象。货物码放时要把原库存放在外面，利于发货时先进先出。</w:t>
      </w:r>
    </w:p>
    <w:p>
      <w:pPr>
        <w:ind w:left="143" w:leftChars="68" w:firstLine="277" w:firstLineChars="99"/>
        <w:rPr>
          <w:sz w:val="28"/>
          <w:szCs w:val="28"/>
        </w:rPr>
      </w:pPr>
      <w:r>
        <w:rPr>
          <w:rFonts w:hint="eastAsia"/>
          <w:sz w:val="28"/>
          <w:szCs w:val="28"/>
        </w:rPr>
        <w:t>3.2.2仓储配件不得因挤压堆放产生损坏，不得因潮湿、日照、高温等引起配件老化、变质；做好铁件的防锈处理工作，不得因锈蚀等原因造成配件失效。</w:t>
      </w:r>
    </w:p>
    <w:p>
      <w:pPr>
        <w:ind w:left="141" w:leftChars="67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3.2.3仓储配件应保证账、物相符且状态良好。</w:t>
      </w:r>
      <w:r>
        <w:rPr>
          <w:rFonts w:hint="eastAsia"/>
          <w:sz w:val="28"/>
          <w:szCs w:val="28"/>
          <w:lang w:eastAsia="zh-CN"/>
        </w:rPr>
        <w:t>每日做异动盘点发现异常及时处理。</w:t>
      </w:r>
      <w:r>
        <w:rPr>
          <w:rFonts w:hint="eastAsia"/>
          <w:sz w:val="28"/>
          <w:szCs w:val="28"/>
        </w:rPr>
        <w:t>每月末对库存配件进行滚动盘点，半年一个周期，实现所有配件全部盘点一遍，</w:t>
      </w:r>
      <w:r>
        <w:rPr>
          <w:rFonts w:hint="eastAsia"/>
          <w:sz w:val="28"/>
          <w:szCs w:val="28"/>
          <w:lang w:eastAsia="zh-CN"/>
        </w:rPr>
        <w:t>采供储运处</w:t>
      </w:r>
      <w:r>
        <w:rPr>
          <w:rFonts w:hint="eastAsia"/>
          <w:sz w:val="28"/>
          <w:szCs w:val="28"/>
        </w:rPr>
        <w:t>人员监盘。年中、年末按规定进行静态全面盘点，</w:t>
      </w:r>
      <w:r>
        <w:rPr>
          <w:rFonts w:hint="eastAsia"/>
          <w:sz w:val="28"/>
          <w:szCs w:val="28"/>
          <w:lang w:eastAsia="zh-CN"/>
        </w:rPr>
        <w:t>采供储运处</w:t>
      </w:r>
      <w:r>
        <w:rPr>
          <w:rFonts w:hint="eastAsia"/>
          <w:sz w:val="28"/>
          <w:szCs w:val="28"/>
        </w:rPr>
        <w:t>及财务部跟进抽盘。对账物不符的物资及不良品分类汇总，以不良品报表、盘盈盘亏报表形式上报</w:t>
      </w:r>
      <w:r>
        <w:rPr>
          <w:rFonts w:hint="eastAsia"/>
          <w:sz w:val="28"/>
          <w:szCs w:val="28"/>
          <w:lang w:eastAsia="zh-CN"/>
        </w:rPr>
        <w:t>配件</w:t>
      </w:r>
      <w:r>
        <w:rPr>
          <w:rFonts w:hint="eastAsia"/>
          <w:sz w:val="28"/>
          <w:szCs w:val="28"/>
        </w:rPr>
        <w:t>服务部。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考核依据：SAP和DMS库存对比表、不良品报表、盘盈盘亏报表。</w:t>
      </w:r>
    </w:p>
    <w:p>
      <w:pPr>
        <w:ind w:left="158" w:leftChars="75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考核指标：</w:t>
      </w:r>
    </w:p>
    <w:p>
      <w:pPr>
        <w:ind w:left="158" w:leftChars="75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1、账卡物相符率：目标值100%（1-盘点差异项数/库存总项数）*100%，分值15分，大于等于99.6%考核得分15分，每低于0.4%扣1分，扣完为止。</w:t>
      </w:r>
    </w:p>
    <w:p>
      <w:pPr>
        <w:ind w:left="141" w:leftChars="67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2、存货完好率：目标值100%（1-货损库存金额/库存总金额）*100%，分值10分，大于等于99.6%考核得分10分，每低于0.4%扣1分，扣完为止。</w:t>
      </w:r>
    </w:p>
    <w:p>
      <w:pPr>
        <w:ind w:left="147" w:leftChars="7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3.2.4加强仓库5S管理工作，仓库包装作业区域和货物存放区应保持干净整洁，不得随意将货物堆放在物流通道上。</w:t>
      </w:r>
    </w:p>
    <w:p>
      <w:pPr>
        <w:ind w:left="1120" w:leftChars="2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3.2.5 仓库设备使用完毕后，需及时放回指定位置。</w:t>
      </w:r>
    </w:p>
    <w:p>
      <w:pPr>
        <w:ind w:left="1123" w:leftChars="200" w:hanging="703" w:hangingChars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3.3出库监控</w:t>
      </w:r>
    </w:p>
    <w:p>
      <w:pPr>
        <w:ind w:left="283" w:leftChars="135" w:firstLine="134" w:firstLineChars="48"/>
        <w:rPr>
          <w:sz w:val="28"/>
          <w:szCs w:val="28"/>
        </w:rPr>
      </w:pPr>
      <w:r>
        <w:rPr>
          <w:rFonts w:hint="eastAsia"/>
          <w:sz w:val="28"/>
          <w:szCs w:val="28"/>
        </w:rPr>
        <w:t>3.3.1单据员每天应及时刷新系统可出库订单。以保证客户急需为主，按先订先出，先急后缓的原则出库。若单笔订单数量过大，出库后影响其它需求量少的订单，出库时需与计划员联系后，由计划员合理安排发货数量后方能出库。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3.3.2 </w:t>
      </w:r>
      <w:r>
        <w:rPr>
          <w:rFonts w:hint="eastAsia"/>
          <w:sz w:val="28"/>
          <w:szCs w:val="28"/>
          <w:lang w:eastAsia="zh-CN"/>
        </w:rPr>
        <w:t>仓管</w:t>
      </w:r>
      <w:r>
        <w:rPr>
          <w:rFonts w:hint="eastAsia"/>
          <w:sz w:val="28"/>
          <w:szCs w:val="28"/>
        </w:rPr>
        <w:t>员按出库单，从规定储位取货并登记好配件卡，做好出库记录。</w:t>
      </w:r>
      <w:r>
        <w:rPr>
          <w:rFonts w:hint="eastAsia"/>
          <w:sz w:val="28"/>
          <w:szCs w:val="28"/>
          <w:lang w:eastAsia="zh-CN"/>
        </w:rPr>
        <w:t>仓管</w:t>
      </w:r>
      <w:r>
        <w:rPr>
          <w:rFonts w:hint="eastAsia"/>
          <w:sz w:val="28"/>
          <w:szCs w:val="28"/>
        </w:rPr>
        <w:t>员要按照先进先出的原则发货，不能造成部分配件长期滞留仓库老化变质。</w:t>
      </w:r>
    </w:p>
    <w:p>
      <w:pPr>
        <w:ind w:left="1121" w:leftChars="334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考核依据：DMS定单看板、客户收货差异反馈表</w:t>
      </w:r>
    </w:p>
    <w:p>
      <w:pPr>
        <w:ind w:left="1121" w:leftChars="334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考核指标：</w:t>
      </w:r>
    </w:p>
    <w:p>
      <w:pPr>
        <w:ind w:left="1120" w:leftChars="2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1、紧急件出库及时率：要达到100%（24小时日清），分值10分，延迟1次扣3分，无延迟项当月另奖励考核分5分。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2、标准单日出库率：要达到85%（限当日15点前提交的订单），分值10分，每出现1天未完成扣0.5分。</w:t>
      </w:r>
    </w:p>
    <w:p>
      <w:pPr>
        <w:ind w:left="283" w:leftChars="135" w:firstLine="142" w:firstLineChars="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仓管</w:t>
      </w:r>
      <w:r>
        <w:rPr>
          <w:rFonts w:hint="eastAsia"/>
          <w:sz w:val="28"/>
          <w:szCs w:val="28"/>
        </w:rPr>
        <w:t>员不按指令出库，每发现一次扣考核分1分，若造成后续订单长期缺货，引起客户强烈投诉的，加倍扣除考核分。</w:t>
      </w:r>
    </w:p>
    <w:p>
      <w:pPr>
        <w:ind w:left="283" w:leftChars="135" w:firstLine="142" w:firstLineChars="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4、发货差异零投诉率，分值10分，当月发生1起配件错发、漏发扣1分，当月无客户投诉另奖励考核分5分。</w:t>
      </w:r>
    </w:p>
    <w:p>
      <w:pPr>
        <w:ind w:left="283" w:leftChars="135" w:firstLine="142" w:firstLineChars="51"/>
        <w:rPr>
          <w:rFonts w:hint="eastAsia"/>
          <w:sz w:val="28"/>
          <w:szCs w:val="28"/>
        </w:rPr>
      </w:pPr>
    </w:p>
    <w:p>
      <w:pPr>
        <w:ind w:firstLine="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3.4包装监控</w:t>
      </w:r>
    </w:p>
    <w:p>
      <w:pPr>
        <w:ind w:left="288" w:leftChars="137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3.4.1配件出库后，包装员应按照配件的实际情况选择合适的包装材料。本着节约原则，不得随意浪费包装材料。</w:t>
      </w:r>
    </w:p>
    <w:p>
      <w:pPr>
        <w:ind w:left="288" w:leftChars="137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3.4.2配件进行包装前需检查配件主体上的条形码标识，确认与装箱清单一致后，并按照《金龙配件包装规范》进行包装。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3.4.3配件包装完毕后，应对包装箱体积及重量进行测量称重，并如实记录，以备发货填写。</w:t>
      </w:r>
    </w:p>
    <w:p>
      <w:pPr>
        <w:ind w:left="1121" w:leftChars="267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考核依据：客户收货破损反馈表、物流公司发运信息表</w:t>
      </w:r>
    </w:p>
    <w:p>
      <w:pPr>
        <w:ind w:left="1121" w:leftChars="267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考核指标：</w:t>
      </w:r>
    </w:p>
    <w:p>
      <w:pPr>
        <w:ind w:left="1120" w:leftChars="2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1、包装质量合格率：目标值100%，分值10分，当月每发现一起因包装不符合规范造成货物损坏的，扣1分。</w:t>
      </w:r>
    </w:p>
    <w:p>
      <w:pPr>
        <w:ind w:left="1120" w:leftChars="2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2、包装信息准确率：目标值100%，分值5分，对比物流公司的校验信息，正负误差在1%内，每月允许出现超出范围的误差5次，超过1次扣1分。</w:t>
      </w:r>
    </w:p>
    <w:p>
      <w:pPr>
        <w:ind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3.5发货及运输监控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3.5.1发货人员应在配件包装更新完的1个工作日内将货物发出（集中发运或特殊指令除外）。将货物交接给物流公司时，需如实填写托运单。托运单与出库单应留底1年以备查验。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3.5.2发货地址及联系人以系统默认为主，发运方式以客户下单时选择的方式 执行。特殊情况需更改，接书面的发运信息更改单方可变更。</w:t>
      </w:r>
    </w:p>
    <w:p>
      <w:pPr>
        <w:ind w:left="288" w:leftChars="137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3.5.3接受配件供应课的指令，对比选择最适合的物流公司承运。</w:t>
      </w:r>
    </w:p>
    <w:p>
      <w:pPr>
        <w:ind w:left="283" w:leftChars="135" w:firstLine="134" w:firstLineChars="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3.5.4配件托运后，及时登记物流台账并反馈物流信息，对配件的运输时效进行跟踪。 </w:t>
      </w:r>
    </w:p>
    <w:p>
      <w:pPr>
        <w:ind w:left="283" w:leftChars="135" w:firstLine="134" w:firstLineChars="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考核依据：定单看板、信息更改通知单、物流托运单</w:t>
      </w:r>
    </w:p>
    <w:p>
      <w:pPr>
        <w:ind w:left="283" w:leftChars="135" w:firstLine="134" w:firstLineChars="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考核指标：</w:t>
      </w:r>
    </w:p>
    <w:p>
      <w:pPr>
        <w:ind w:left="283" w:leftChars="135" w:firstLine="134" w:firstLineChars="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1、配件发运及时率，分值5分，包装更新完的货物每滞留1项扣0.5分（仅限紧急单）。</w:t>
      </w:r>
    </w:p>
    <w:p>
      <w:pPr>
        <w:ind w:left="283" w:leftChars="135" w:firstLine="134" w:firstLineChars="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2、配件发运准确率，分值5分，每出现一笔因发货员导致的发运错误，扣1分。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四、考核结果应用</w:t>
      </w:r>
    </w:p>
    <w:p>
      <w:pPr>
        <w:ind w:left="140" w:hanging="140" w:hangingChars="50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 </w:t>
      </w:r>
      <w:r>
        <w:rPr>
          <w:rFonts w:hint="eastAsia"/>
          <w:sz w:val="28"/>
          <w:szCs w:val="28"/>
          <w:highlight w:val="none"/>
          <w:lang w:eastAsia="zh-CN"/>
        </w:rPr>
        <w:t>采供储运处</w:t>
      </w:r>
      <w:r>
        <w:rPr>
          <w:rFonts w:hint="eastAsia"/>
          <w:sz w:val="28"/>
          <w:szCs w:val="28"/>
          <w:highlight w:val="none"/>
        </w:rPr>
        <w:t>按月对</w:t>
      </w:r>
      <w:r>
        <w:rPr>
          <w:rFonts w:hint="eastAsia"/>
          <w:sz w:val="28"/>
          <w:szCs w:val="28"/>
          <w:highlight w:val="none"/>
          <w:lang w:eastAsia="zh-CN"/>
        </w:rPr>
        <w:t>第三方</w:t>
      </w:r>
      <w:r>
        <w:rPr>
          <w:rFonts w:hint="eastAsia"/>
          <w:sz w:val="28"/>
          <w:szCs w:val="28"/>
          <w:highlight w:val="none"/>
        </w:rPr>
        <w:t>物流实施考核，按照《第三方物流售后仓库监管制度》的KPI指标进行量化，扣减当月动态服务费用。</w:t>
      </w:r>
      <w:r>
        <w:rPr>
          <w:rFonts w:hint="eastAsia"/>
          <w:sz w:val="28"/>
          <w:szCs w:val="28"/>
          <w:highlight w:val="none"/>
          <w:lang w:val="en-US" w:eastAsia="zh-CN"/>
        </w:rPr>
        <w:t>(考核的结果作为支付服务费的依据之一，每次考核分值90分以上（含90分）可全额支付费用，每次考核分值低于90分，每次考核分值每扣1分按300元扣减费用，以此类推。）连续三月考核分值低于70分（含70分），将合同终止并追责。</w:t>
      </w:r>
      <w:bookmarkStart w:id="0" w:name="_GoBack"/>
      <w:bookmarkEnd w:id="0"/>
    </w:p>
    <w:p>
      <w:pPr>
        <w:ind w:left="140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盘盈盘亏按照《金龙公司财务管理制度》执行，不良品按照《呆滞配件统计处理考核制度》执行，凡由仓库原因造成的财产损失全部由</w:t>
      </w:r>
      <w:r>
        <w:rPr>
          <w:rFonts w:hint="eastAsia"/>
          <w:sz w:val="28"/>
          <w:szCs w:val="28"/>
          <w:lang w:eastAsia="zh-CN"/>
        </w:rPr>
        <w:t>第三方</w:t>
      </w:r>
      <w:r>
        <w:rPr>
          <w:rFonts w:hint="eastAsia"/>
          <w:sz w:val="28"/>
          <w:szCs w:val="28"/>
        </w:rPr>
        <w:t>物流承担。</w:t>
      </w:r>
    </w:p>
    <w:p>
      <w:pPr>
        <w:ind w:left="140" w:hanging="140" w:hangingChars="50"/>
        <w:rPr>
          <w:rFonts w:hint="eastAsia"/>
          <w:sz w:val="28"/>
          <w:szCs w:val="28"/>
        </w:rPr>
      </w:pPr>
    </w:p>
    <w:p>
      <w:pPr>
        <w:ind w:left="140" w:hanging="140" w:hangingChars="50"/>
        <w:rPr>
          <w:rFonts w:hint="eastAsia"/>
          <w:sz w:val="28"/>
          <w:szCs w:val="28"/>
        </w:rPr>
      </w:pPr>
    </w:p>
    <w:p>
      <w:pPr>
        <w:ind w:left="6580" w:hanging="6580" w:hangingChars="2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</w:rPr>
        <w:t>发布部门：</w:t>
      </w:r>
      <w:r>
        <w:rPr>
          <w:rFonts w:hint="eastAsia"/>
          <w:sz w:val="28"/>
          <w:szCs w:val="28"/>
          <w:lang w:eastAsia="zh-CN"/>
        </w:rPr>
        <w:t>配件</w:t>
      </w:r>
      <w:r>
        <w:rPr>
          <w:rFonts w:hint="eastAsia"/>
          <w:sz w:val="28"/>
          <w:szCs w:val="28"/>
        </w:rPr>
        <w:t>服务部</w:t>
      </w:r>
    </w:p>
    <w:p>
      <w:pPr>
        <w:ind w:firstLine="4760" w:firstLineChars="1700"/>
        <w:rPr>
          <w:rFonts w:ascii="宋体" w:hAnsi="宋体" w:eastAsia="宋体"/>
          <w:b/>
          <w:bCs/>
          <w:sz w:val="36"/>
          <w:szCs w:val="44"/>
        </w:rPr>
      </w:pPr>
      <w:r>
        <w:rPr>
          <w:rFonts w:hint="eastAsia"/>
          <w:sz w:val="28"/>
          <w:szCs w:val="28"/>
        </w:rPr>
        <w:t>发布时间：20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ascii="宋体" w:hAnsi="宋体" w:eastAsia="宋体"/>
          <w:b/>
          <w:bCs/>
          <w:sz w:val="36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44"/>
        </w:rPr>
      </w:pPr>
      <w:r>
        <w:rPr>
          <w:rFonts w:ascii="宋体" w:hAnsi="宋体" w:eastAsia="宋体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-819150</wp:posOffset>
            </wp:positionH>
            <wp:positionV relativeFrom="page">
              <wp:posOffset>9465310</wp:posOffset>
            </wp:positionV>
            <wp:extent cx="6805295" cy="354965"/>
            <wp:effectExtent l="19050" t="0" r="0" b="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739"/>
                    <a:stretch>
                      <a:fillRect/>
                    </a:stretch>
                  </pic:blipFill>
                  <pic:spPr>
                    <a:xfrm>
                      <a:off x="0" y="0"/>
                      <a:ext cx="6805295" cy="3549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1775460" cy="333375"/>
          <wp:effectExtent l="19050" t="0" r="0" b="0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687" cy="334656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</w:t>
    </w:r>
    <w:r>
      <w:drawing>
        <wp:inline distT="0" distB="0" distL="0" distR="0">
          <wp:extent cx="942975" cy="327660"/>
          <wp:effectExtent l="0" t="0" r="0" b="0"/>
          <wp:docPr id="6" name="图片 5" descr="C:\Users\Administrator\Desktop\龙悦服务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C:\Users\Administrator\Desktop\龙悦服务标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327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02"/>
    <w:rsid w:val="00075490"/>
    <w:rsid w:val="000C0FE1"/>
    <w:rsid w:val="000C3A84"/>
    <w:rsid w:val="000E578A"/>
    <w:rsid w:val="001229EB"/>
    <w:rsid w:val="001B3354"/>
    <w:rsid w:val="001D6ED8"/>
    <w:rsid w:val="001F6D14"/>
    <w:rsid w:val="0021131B"/>
    <w:rsid w:val="003D4E40"/>
    <w:rsid w:val="003F108B"/>
    <w:rsid w:val="0044732E"/>
    <w:rsid w:val="00461EE7"/>
    <w:rsid w:val="0047368F"/>
    <w:rsid w:val="004A3ECF"/>
    <w:rsid w:val="004F3E02"/>
    <w:rsid w:val="00506A0B"/>
    <w:rsid w:val="00551B5B"/>
    <w:rsid w:val="005B3C1C"/>
    <w:rsid w:val="005C2F97"/>
    <w:rsid w:val="005C4298"/>
    <w:rsid w:val="005F78F6"/>
    <w:rsid w:val="00617D04"/>
    <w:rsid w:val="006C49B1"/>
    <w:rsid w:val="006D6E3E"/>
    <w:rsid w:val="00725288"/>
    <w:rsid w:val="00725E2A"/>
    <w:rsid w:val="00742114"/>
    <w:rsid w:val="00747B20"/>
    <w:rsid w:val="00777856"/>
    <w:rsid w:val="00893E42"/>
    <w:rsid w:val="008C4260"/>
    <w:rsid w:val="008F449E"/>
    <w:rsid w:val="00915216"/>
    <w:rsid w:val="00997601"/>
    <w:rsid w:val="009A3534"/>
    <w:rsid w:val="009A5795"/>
    <w:rsid w:val="00AB57DD"/>
    <w:rsid w:val="00B64164"/>
    <w:rsid w:val="00B65BDB"/>
    <w:rsid w:val="00BB011E"/>
    <w:rsid w:val="00BD2DCE"/>
    <w:rsid w:val="00CB3101"/>
    <w:rsid w:val="00CF0D7C"/>
    <w:rsid w:val="00D91E2E"/>
    <w:rsid w:val="00DD4825"/>
    <w:rsid w:val="00E3755E"/>
    <w:rsid w:val="00F35694"/>
    <w:rsid w:val="00F74930"/>
    <w:rsid w:val="00F90E8C"/>
    <w:rsid w:val="12C969B0"/>
    <w:rsid w:val="34431CFF"/>
    <w:rsid w:val="38DF18AE"/>
    <w:rsid w:val="4F054E28"/>
    <w:rsid w:val="56B116C1"/>
    <w:rsid w:val="69C6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napToGrid w:val="0"/>
      <w:spacing w:before="20" w:after="120" w:line="240" w:lineRule="exact"/>
      <w:ind w:left="839"/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leader="middleDot" w:pos="105"/>
      </w:tabs>
      <w:spacing w:before="360" w:after="360"/>
    </w:pPr>
    <w:rPr>
      <w:rFonts w:ascii="Calibri" w:hAnsi="Calibri" w:eastAsia="宋体" w:cs="Times New Roman"/>
      <w:b/>
      <w:szCs w:val="24"/>
    </w:rPr>
  </w:style>
  <w:style w:type="paragraph" w:styleId="7">
    <w:name w:val="toc 2"/>
    <w:basedOn w:val="1"/>
    <w:next w:val="1"/>
    <w:qFormat/>
    <w:uiPriority w:val="39"/>
    <w:pPr>
      <w:spacing w:before="360" w:after="360"/>
      <w:ind w:left="420" w:leftChars="200"/>
    </w:pPr>
    <w:rPr>
      <w:rFonts w:ascii="Calibri" w:hAnsi="Calibri" w:eastAsia="宋体" w:cs="Times New Roman"/>
      <w:szCs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CCBE3-1783-43EB-A7FF-970685D72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</Characters>
  <Lines>1</Lines>
  <Paragraphs>1</Paragraphs>
  <TotalTime>2</TotalTime>
  <ScaleCrop>false</ScaleCrop>
  <LinksUpToDate>false</LinksUpToDate>
  <CharactersWithSpaces>11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2021-10-21T01:05:00Z</dcterms:created>
  <dc:creator>Administrator</dc:creator>
  <cp:lastModifiedBy>陈鹭峰</cp:lastModifiedBy>
  <cp:lastPrinted>2021-11-02T05:10:00Z</cp:lastPrinted>
  <dcterms:modified xsi:type="dcterms:W3CDTF">2024-06-04T01:46:45Z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