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5585" w:type="dxa"/>
        <w:tblInd w:w="0" w:type="dxa"/>
        <w:shd w:val="clear"/>
        <w:tblLayout w:type="fixed"/>
        <w:tblCellMar>
          <w:top w:w="0" w:type="dxa"/>
          <w:left w:w="0" w:type="dxa"/>
          <w:bottom w:w="0" w:type="dxa"/>
          <w:right w:w="0" w:type="dxa"/>
        </w:tblCellMar>
      </w:tblPr>
      <w:tblGrid>
        <w:gridCol w:w="765"/>
        <w:gridCol w:w="1795"/>
        <w:gridCol w:w="7280"/>
        <w:gridCol w:w="5745"/>
      </w:tblGrid>
      <w:tr>
        <w:tblPrEx>
          <w:shd w:val="clear"/>
          <w:tblLayout w:type="fixed"/>
          <w:tblCellMar>
            <w:top w:w="0" w:type="dxa"/>
            <w:left w:w="0" w:type="dxa"/>
            <w:bottom w:w="0" w:type="dxa"/>
            <w:right w:w="0"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NO</w:t>
            </w:r>
          </w:p>
        </w:tc>
        <w:tc>
          <w:tcPr>
            <w:tcW w:w="90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center"/>
              <w:textAlignment w:val="bottom"/>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质量要求</w:t>
            </w:r>
          </w:p>
        </w:tc>
        <w:tc>
          <w:tcPr>
            <w:tcW w:w="57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需供应商提供的资料或证明材料</w:t>
            </w:r>
          </w:p>
        </w:tc>
      </w:tr>
      <w:tr>
        <w:tblPrEx>
          <w:tblLayout w:type="fixed"/>
          <w:tblCellMar>
            <w:top w:w="0" w:type="dxa"/>
            <w:left w:w="0" w:type="dxa"/>
            <w:bottom w:w="0" w:type="dxa"/>
            <w:right w:w="0"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1</w:t>
            </w:r>
          </w:p>
        </w:tc>
        <w:tc>
          <w:tcPr>
            <w:tcW w:w="1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质量体系要求</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关键件&amp;重要件通过IATF16949质量管理体系认证；</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爆胎应急属于重要件；</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必须通过 IATF16949 认证，证书范围须覆盖 "爆胎应急装置"，证书在有效期内、无暂停 / 撤销；</w:t>
            </w:r>
          </w:p>
        </w:tc>
        <w:tc>
          <w:tcPr>
            <w:tcW w:w="57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提供IATF16949质量管理体系证书</w:t>
            </w:r>
          </w:p>
        </w:tc>
      </w:tr>
      <w:tr>
        <w:tblPrEx>
          <w:tblLayout w:type="fixed"/>
          <w:tblCellMar>
            <w:top w:w="0" w:type="dxa"/>
            <w:left w:w="0" w:type="dxa"/>
            <w:bottom w:w="0" w:type="dxa"/>
            <w:right w:w="0" w:type="dxa"/>
          </w:tblCellMar>
        </w:tblPrEx>
        <w:trPr>
          <w:trHeight w:val="1140" w:hRule="atLeast"/>
        </w:trPr>
        <w:tc>
          <w:tcPr>
            <w:tcW w:w="76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2</w:t>
            </w:r>
          </w:p>
        </w:tc>
        <w:tc>
          <w:tcPr>
            <w:tcW w:w="1795"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产品检测</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拟供件通过第三方检测报告(有效期在近3年内)，其中包含相关的重要结构、功能、型式试验项目：</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GB∕T 38796 汽车爆胎应急安全装置性能要求和试验方法；</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JTT 782 营运车辆爆胎应急安全装置技术要求和试验方法；</w:t>
            </w:r>
          </w:p>
        </w:tc>
        <w:tc>
          <w:tcPr>
            <w:tcW w:w="57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提供招标件或同类件的第三方检测报告</w:t>
            </w:r>
          </w:p>
        </w:tc>
      </w:tr>
      <w:tr>
        <w:tblPrEx>
          <w:tblLayout w:type="fixed"/>
          <w:tblCellMar>
            <w:top w:w="0" w:type="dxa"/>
            <w:left w:w="0" w:type="dxa"/>
            <w:bottom w:w="0" w:type="dxa"/>
            <w:right w:w="0" w:type="dxa"/>
          </w:tblCellMar>
        </w:tblPrEx>
        <w:trPr>
          <w:trHeight w:val="1425" w:hRule="atLeast"/>
        </w:trPr>
        <w:tc>
          <w:tcPr>
            <w:tcW w:w="7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3</w:t>
            </w:r>
          </w:p>
        </w:tc>
        <w:tc>
          <w:tcPr>
            <w:tcW w:w="1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产品开发质量要求</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要求供应商按照国际汽车行业质量管理体系要求，建立符合IATF16949质量体系，在量产批准后向金龙提交中标零部件的《生产一致性控制计划，并按《生产一致性控制计划》要求执行生产过程人机料法环的控制按策划开展日常检验及定期性能检测，对于发现问题及时响应，持续改进，实现量产产品与PPAP批准产品质量水平一致。</w:t>
            </w:r>
          </w:p>
        </w:tc>
        <w:tc>
          <w:tcPr>
            <w:tcW w:w="57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提供招标件或同类件的开发先期质量策划方案APQP</w:t>
            </w:r>
          </w:p>
        </w:tc>
      </w:tr>
      <w:tr>
        <w:tblPrEx>
          <w:shd w:val="clear"/>
          <w:tblLayout w:type="fixed"/>
          <w:tblCellMar>
            <w:top w:w="0" w:type="dxa"/>
            <w:left w:w="0" w:type="dxa"/>
            <w:bottom w:w="0" w:type="dxa"/>
            <w:right w:w="0"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4</w:t>
            </w:r>
          </w:p>
        </w:tc>
        <w:tc>
          <w:tcPr>
            <w:tcW w:w="179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一致性质量要求</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制定材料进厂检验检验规范及抽样要求，并严格按照规范执行</w:t>
            </w:r>
          </w:p>
        </w:tc>
        <w:tc>
          <w:tcPr>
            <w:tcW w:w="574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提供招标件或同类件的一致性控制计划；</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提供招标件或同类件的关键特性清单及相应的检测设备、检测手段、检测方法（SPC\MSA）；</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提供招标件或同类件的产品性能试验计划；</w:t>
            </w:r>
          </w:p>
        </w:tc>
      </w:tr>
      <w:tr>
        <w:tblPrEx>
          <w:tblLayout w:type="fixed"/>
          <w:tblCellMar>
            <w:top w:w="0" w:type="dxa"/>
            <w:left w:w="0" w:type="dxa"/>
            <w:bottom w:w="0" w:type="dxa"/>
            <w:right w:w="0" w:type="dxa"/>
          </w:tblCellMar>
        </w:tblPrEx>
        <w:trPr>
          <w:trHeight w:val="57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等线" w:hAnsi="等线" w:eastAsia="等线" w:cs="等线"/>
                <w:i w:val="0"/>
                <w:color w:val="000000"/>
                <w:sz w:val="22"/>
                <w:szCs w:val="22"/>
                <w:u w:val="none"/>
              </w:rPr>
            </w:pPr>
          </w:p>
        </w:tc>
        <w:tc>
          <w:tcPr>
            <w:tcW w:w="17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对计量器具、检具、试验设备等的校准及检定管理,制定并实施了与计量管理相关的规定；</w:t>
            </w:r>
          </w:p>
        </w:tc>
        <w:tc>
          <w:tcPr>
            <w:tcW w:w="574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r>
      <w:tr>
        <w:tblPrEx>
          <w:shd w:val="clear"/>
          <w:tblLayout w:type="fixed"/>
          <w:tblCellMar>
            <w:top w:w="0" w:type="dxa"/>
            <w:left w:w="0" w:type="dxa"/>
            <w:bottom w:w="0" w:type="dxa"/>
            <w:right w:w="0" w:type="dxa"/>
          </w:tblCellMar>
        </w:tblPrEx>
        <w:trPr>
          <w:trHeight w:val="85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等线" w:hAnsi="等线" w:eastAsia="等线" w:cs="等线"/>
                <w:i w:val="0"/>
                <w:color w:val="000000"/>
                <w:sz w:val="22"/>
                <w:szCs w:val="22"/>
                <w:u w:val="none"/>
              </w:rPr>
            </w:pPr>
          </w:p>
        </w:tc>
        <w:tc>
          <w:tcPr>
            <w:tcW w:w="17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对生产过程中影响产品品质的关键参数制定控制计划或QC工程图进行品质预防性管控，且关键参数识别全面、系统性能参数测试方案完整、有效；</w:t>
            </w:r>
          </w:p>
        </w:tc>
        <w:tc>
          <w:tcPr>
            <w:tcW w:w="574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r>
      <w:tr>
        <w:tblPrEx>
          <w:shd w:val="clear"/>
          <w:tblLayout w:type="fixed"/>
          <w:tblCellMar>
            <w:top w:w="0" w:type="dxa"/>
            <w:left w:w="0" w:type="dxa"/>
            <w:bottom w:w="0" w:type="dxa"/>
            <w:right w:w="0"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等线" w:hAnsi="等线" w:eastAsia="等线" w:cs="等线"/>
                <w:i w:val="0"/>
                <w:color w:val="000000"/>
                <w:sz w:val="22"/>
                <w:szCs w:val="22"/>
                <w:u w:val="none"/>
              </w:rPr>
            </w:pPr>
          </w:p>
        </w:tc>
        <w:tc>
          <w:tcPr>
            <w:tcW w:w="17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最终产品检验有检验指导书或检验标准，且检验有效</w:t>
            </w:r>
          </w:p>
        </w:tc>
        <w:tc>
          <w:tcPr>
            <w:tcW w:w="574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r>
      <w:tr>
        <w:tblPrEx>
          <w:shd w:val="clear"/>
          <w:tblLayout w:type="fixed"/>
          <w:tblCellMar>
            <w:top w:w="0" w:type="dxa"/>
            <w:left w:w="0" w:type="dxa"/>
            <w:bottom w:w="0" w:type="dxa"/>
            <w:right w:w="0"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5</w:t>
            </w:r>
          </w:p>
        </w:tc>
        <w:tc>
          <w:tcPr>
            <w:tcW w:w="1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储运运输质量要求</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有储运包装运输规范要求，规范要求是否能确实保护好产品</w:t>
            </w:r>
          </w:p>
        </w:tc>
        <w:tc>
          <w:tcPr>
            <w:tcW w:w="57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提供储运包装运输规范说明</w:t>
            </w:r>
          </w:p>
        </w:tc>
      </w:tr>
      <w:tr>
        <w:tblPrEx>
          <w:shd w:val="clear"/>
          <w:tblLayout w:type="fixed"/>
          <w:tblCellMar>
            <w:top w:w="0" w:type="dxa"/>
            <w:left w:w="0" w:type="dxa"/>
            <w:bottom w:w="0" w:type="dxa"/>
            <w:right w:w="0" w:type="dxa"/>
          </w:tblCellMar>
        </w:tblPrEx>
        <w:trPr>
          <w:trHeight w:val="840"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6</w:t>
            </w:r>
          </w:p>
        </w:tc>
        <w:tc>
          <w:tcPr>
            <w:tcW w:w="179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异常管理要求</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制定了对每批次定单从材料到成品的可追溯性管理规定，并保证能与我司的产品追溯系统对接</w:t>
            </w:r>
          </w:p>
        </w:tc>
        <w:tc>
          <w:tcPr>
            <w:tcW w:w="574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提供相关供货产品的品质改善管理方案或流程范例，或提供拟招标标的件或同类件的质量整改8D报告1份；</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提供产品可追溯性管控系统说明；</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快速响应主机厂的质量反馈的机制及模式介绍</w:t>
            </w:r>
          </w:p>
        </w:tc>
      </w:tr>
      <w:tr>
        <w:tblPrEx>
          <w:shd w:val="clear"/>
          <w:tblLayout w:type="fixed"/>
          <w:tblCellMar>
            <w:top w:w="0" w:type="dxa"/>
            <w:left w:w="0" w:type="dxa"/>
            <w:bottom w:w="0" w:type="dxa"/>
            <w:right w:w="0" w:type="dxa"/>
          </w:tblCellMar>
        </w:tblPrEx>
        <w:trPr>
          <w:trHeight w:val="84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等线" w:hAnsi="等线" w:eastAsia="等线" w:cs="等线"/>
                <w:i w:val="0"/>
                <w:color w:val="000000"/>
                <w:sz w:val="22"/>
                <w:szCs w:val="22"/>
                <w:u w:val="none"/>
              </w:rPr>
            </w:pPr>
          </w:p>
        </w:tc>
        <w:tc>
          <w:tcPr>
            <w:tcW w:w="179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具备产品售后质量反馈信息的分析处理流程，并实施闭环管理，对金龙反馈的质量问题进行闭环管理，分析及制定整改措施反馈确认</w:t>
            </w:r>
          </w:p>
        </w:tc>
        <w:tc>
          <w:tcPr>
            <w:tcW w:w="574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等线" w:hAnsi="等线" w:eastAsia="等线" w:cs="等线"/>
                <w:i w:val="0"/>
                <w:color w:val="000000"/>
                <w:sz w:val="22"/>
                <w:szCs w:val="22"/>
                <w:u w:val="none"/>
              </w:rPr>
            </w:pPr>
          </w:p>
        </w:tc>
      </w:tr>
      <w:tr>
        <w:tblPrEx>
          <w:tblLayout w:type="fixed"/>
          <w:tblCellMar>
            <w:top w:w="0" w:type="dxa"/>
            <w:left w:w="0" w:type="dxa"/>
            <w:bottom w:w="0" w:type="dxa"/>
            <w:right w:w="0"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7</w:t>
            </w:r>
          </w:p>
        </w:tc>
        <w:tc>
          <w:tcPr>
            <w:tcW w:w="17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质保要求</w:t>
            </w:r>
          </w:p>
        </w:tc>
        <w:tc>
          <w:tcPr>
            <w:tcW w:w="72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向金龙供货产品质量保证期为零部件装车运行后不低于三年；</w:t>
            </w:r>
            <w:r>
              <w:rPr>
                <w:rFonts w:hint="eastAsia" w:ascii="等线" w:hAnsi="等线" w:eastAsia="等线" w:cs="等线"/>
                <w:i w:val="0"/>
                <w:color w:val="000000"/>
                <w:kern w:val="0"/>
                <w:sz w:val="22"/>
                <w:szCs w:val="22"/>
                <w:u w:val="none"/>
                <w:bdr w:val="none" w:color="auto" w:sz="0" w:space="0"/>
                <w:lang w:val="en-US" w:eastAsia="zh-CN" w:bidi="ar"/>
              </w:rPr>
              <w:br w:type="textWrapping"/>
            </w:r>
            <w:r>
              <w:rPr>
                <w:rFonts w:hint="eastAsia" w:ascii="等线" w:hAnsi="等线" w:eastAsia="等线" w:cs="等线"/>
                <w:i w:val="0"/>
                <w:color w:val="000000"/>
                <w:kern w:val="0"/>
                <w:sz w:val="22"/>
                <w:szCs w:val="22"/>
                <w:u w:val="none"/>
                <w:bdr w:val="none" w:color="auto" w:sz="0" w:space="0"/>
                <w:lang w:val="en-US" w:eastAsia="zh-CN" w:bidi="ar"/>
              </w:rPr>
              <w:t>必须签订《供应商质量保障协议》</w:t>
            </w:r>
          </w:p>
        </w:tc>
        <w:tc>
          <w:tcPr>
            <w:tcW w:w="57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等线" w:hAnsi="等线" w:eastAsia="等线" w:cs="等线"/>
                <w:i w:val="0"/>
                <w:color w:val="000000"/>
                <w:sz w:val="22"/>
                <w:szCs w:val="22"/>
                <w:u w:val="none"/>
              </w:rPr>
            </w:pPr>
            <w:r>
              <w:rPr>
                <w:rFonts w:hint="eastAsia" w:ascii="等线" w:hAnsi="等线" w:eastAsia="等线" w:cs="等线"/>
                <w:i w:val="0"/>
                <w:color w:val="000000"/>
                <w:kern w:val="0"/>
                <w:sz w:val="22"/>
                <w:szCs w:val="22"/>
                <w:u w:val="none"/>
                <w:bdr w:val="none" w:color="auto" w:sz="0" w:space="0"/>
                <w:lang w:val="en-US" w:eastAsia="zh-CN" w:bidi="ar"/>
              </w:rPr>
              <w:t>提供标书合同附件的《供应商质量质保协议》-盖章</w:t>
            </w:r>
          </w:p>
        </w:tc>
      </w:tr>
    </w:tbl>
    <w:p/>
    <w:p>
      <w:pPr>
        <w:tabs>
          <w:tab w:val="left" w:pos="4481"/>
        </w:tabs>
        <w:bidi w:val="0"/>
        <w:jc w:val="left"/>
        <w:rPr>
          <w:rFonts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b/>
      </w:r>
      <w:bookmarkStart w:id="0" w:name="_GoBack"/>
      <w:bookmarkEnd w:id="0"/>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161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kinglong</dc:creator>
  <cp:lastModifiedBy>kinglong</cp:lastModifiedBy>
  <dcterms:modified xsi:type="dcterms:W3CDTF">2026-08-01T01:23:23Z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