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adjustRightInd w:val="0"/>
        <w:snapToGrid w:val="0"/>
        <w:spacing w:before="0" w:after="120"/>
        <w:rPr>
          <w:sz w:val="30"/>
          <w:szCs w:val="30"/>
        </w:rPr>
      </w:pPr>
      <w:bookmarkStart w:id="0" w:name="_Toc14358"/>
      <w:bookmarkStart w:id="1" w:name="_Toc26315"/>
      <w:bookmarkStart w:id="2" w:name="_Toc17193"/>
      <w:bookmarkStart w:id="3" w:name="_Toc19915"/>
      <w:bookmarkStart w:id="4" w:name="_Toc20631"/>
      <w:bookmarkStart w:id="5" w:name="_Toc5934"/>
      <w:bookmarkStart w:id="6" w:name="_Toc97560485"/>
      <w:bookmarkStart w:id="7" w:name="_Toc21409"/>
      <w:r>
        <w:rPr>
          <w:rFonts w:hint="eastAsia"/>
          <w:bCs/>
          <w:color w:val="0000FF"/>
          <w:sz w:val="30"/>
          <w:szCs w:val="30"/>
        </w:rPr>
        <w:t>-金龙厂区弱电系统年度维护服务项目</w:t>
      </w:r>
      <w:r>
        <w:rPr>
          <w:rFonts w:hint="eastAsia"/>
          <w:sz w:val="30"/>
          <w:szCs w:val="30"/>
        </w:rPr>
        <w:t>招标项目</w:t>
      </w:r>
      <w:bookmarkStart w:id="8" w:name="OLE_LINK3"/>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5"/>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w:t>
      </w:r>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5"/>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5"/>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供应商商务B因素分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rPr>
        <w:t>1</w:t>
      </w:r>
      <w:r>
        <w:rPr>
          <w:rFonts w:hint="eastAsia" w:ascii="宋体" w:hAnsi="宋体" w:cs="宋体"/>
          <w:b/>
          <w:color w:val="FF0000"/>
          <w:lang w:val="en-US" w:eastAsia="zh-CN"/>
        </w:rPr>
        <w:t>0</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供应商商务B评审</w:t>
      </w:r>
      <w:r>
        <w:rPr>
          <w:rFonts w:hint="eastAsia" w:ascii="宋体" w:hAnsi="宋体" w:cs="宋体"/>
          <w:bCs/>
        </w:rPr>
        <w:t>项目/评分标准,按表一内容及评审分值进行评审。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供应商技术T因素分F2</w:t>
      </w:r>
      <w:r>
        <w:rPr>
          <w:rFonts w:hint="eastAsia" w:ascii="宋体" w:hAnsi="宋体" w:cs="宋体"/>
          <w:b/>
          <w:color w:val="FF0000"/>
          <w:lang w:val="zh-CN"/>
        </w:rPr>
        <w:t>（满分</w:t>
      </w:r>
      <w:r>
        <w:rPr>
          <w:rFonts w:hint="eastAsia" w:ascii="宋体" w:hAnsi="宋体" w:cs="宋体"/>
          <w:b/>
          <w:color w:val="FF0000"/>
          <w:lang w:val="en-US" w:eastAsia="zh-CN"/>
        </w:rPr>
        <w:t>40</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供应商技术T评审</w:t>
      </w:r>
      <w:r>
        <w:rPr>
          <w:rFonts w:hint="eastAsia" w:ascii="宋体" w:hAnsi="宋体" w:cs="宋体"/>
          <w:bCs/>
        </w:rPr>
        <w:t>项目/评分标准,按表二内容及评审分值进行评审。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lang w:val="en-US" w:eastAsia="zh-CN"/>
        </w:rPr>
        <w:t>5</w:t>
      </w:r>
      <w:r>
        <w:rPr>
          <w:rFonts w:hint="eastAsia" w:ascii="宋体" w:hAnsi="宋体" w:cs="宋体"/>
          <w:b/>
          <w:color w:val="FF0000"/>
          <w:szCs w:val="20"/>
        </w:rPr>
        <w:t>0分）</w:t>
      </w:r>
    </w:p>
    <w:p>
      <w:pPr>
        <w:pStyle w:val="15"/>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5"/>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ascii="宋体" w:hAnsi="宋体"/>
          <w:b/>
          <w:sz w:val="28"/>
          <w:szCs w:val="28"/>
          <w:u w:val="single"/>
          <w:lang w:val="zh-CN"/>
        </w:rPr>
        <w:t xml:space="preserve"> </w:t>
      </w:r>
      <w:r>
        <w:rPr>
          <w:rFonts w:ascii="宋体" w:hAnsi="宋体"/>
          <w:b/>
          <w:sz w:val="28"/>
          <w:szCs w:val="28"/>
          <w:lang w:val="zh-CN"/>
        </w:rPr>
        <w:t>个。</w:t>
      </w:r>
    </w:p>
    <w:p>
      <w:pPr>
        <w:pStyle w:val="15"/>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5"/>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5"/>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标后履约管理由招标需求部门或相应采购部门负责；针对中标供应商的商务B、技术T、价格C方面，相应责任部门应建立起有效的合同履行和评价体系，进行有效监管。</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outlineLvl w:val="2"/>
        <w:rPr>
          <w:rFonts w:hint="eastAsia" w:ascii="宋体" w:hAnsi="宋体"/>
          <w:b/>
          <w:bCs/>
          <w:color w:val="000000" w:themeColor="text1"/>
          <w:sz w:val="24"/>
          <w:szCs w:val="24"/>
          <w14:textFill>
            <w14:solidFill>
              <w14:schemeClr w14:val="tx1"/>
            </w14:solidFill>
          </w14:textFill>
        </w:rPr>
      </w:pPr>
      <w:bookmarkStart w:id="10" w:name="_Toc217295097"/>
      <w:r>
        <w:rPr>
          <w:rFonts w:hint="eastAsia" w:ascii="宋体" w:hAnsi="宋体"/>
          <w:b/>
          <w:bCs/>
          <w:color w:val="000000" w:themeColor="text1"/>
          <w:sz w:val="24"/>
          <w:szCs w:val="24"/>
          <w14:textFill>
            <w14:solidFill>
              <w14:schemeClr w14:val="tx1"/>
            </w14:solidFill>
          </w14:textFill>
        </w:rPr>
        <w:t>表一：供应商商务B审核评审项目/评分标准</w:t>
      </w:r>
      <w:bookmarkEnd w:id="10"/>
    </w:p>
    <w:p>
      <w:pPr>
        <w:spacing w:line="360" w:lineRule="auto"/>
        <w:rPr>
          <w:rFonts w:hint="eastAsia" w:ascii="宋体" w:hAnsi="宋体"/>
          <w:b/>
          <w:bCs/>
          <w:color w:val="0000FF"/>
          <w:szCs w:val="21"/>
        </w:rPr>
      </w:pPr>
    </w:p>
    <w:tbl>
      <w:tblPr>
        <w:tblStyle w:val="14"/>
        <w:tblW w:w="155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097"/>
        <w:gridCol w:w="2199"/>
        <w:gridCol w:w="1097"/>
        <w:gridCol w:w="10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96" w:type="dxa"/>
            <w:shd w:val="clear" w:color="auto" w:fill="D9D9D9"/>
            <w:vAlign w:val="center"/>
          </w:tcPr>
          <w:p>
            <w:pPr>
              <w:widowControl/>
              <w:spacing w:line="240" w:lineRule="exact"/>
              <w:jc w:val="center"/>
              <w:rPr>
                <w:rFonts w:hint="eastAsia" w:ascii="宋体" w:hAnsi="宋体" w:cs="宋体"/>
                <w:b/>
                <w:bCs/>
                <w:color w:val="000000"/>
                <w:kern w:val="0"/>
                <w:sz w:val="18"/>
                <w:szCs w:val="18"/>
              </w:rPr>
            </w:pPr>
            <w:bookmarkStart w:id="11" w:name="OLE_LINK89"/>
            <w:r>
              <w:rPr>
                <w:rFonts w:hint="eastAsia" w:ascii="宋体" w:hAnsi="宋体" w:cs="宋体"/>
                <w:b/>
                <w:bCs/>
                <w:color w:val="000000"/>
                <w:kern w:val="0"/>
                <w:sz w:val="18"/>
                <w:szCs w:val="18"/>
              </w:rPr>
              <w:t>序</w:t>
            </w:r>
          </w:p>
        </w:tc>
        <w:tc>
          <w:tcPr>
            <w:tcW w:w="1097"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199"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097"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10585"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r>
              <w:rPr>
                <w:rFonts w:hint="eastAsia" w:ascii="宋体" w:hAnsi="宋体" w:cs="宋体"/>
                <w:b/>
                <w:bCs/>
                <w:color w:val="FF0000"/>
                <w:kern w:val="0"/>
                <w:sz w:val="18"/>
                <w:szCs w:val="18"/>
              </w:rPr>
              <w:t>（面向供应商）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jc w:val="center"/>
        </w:trPr>
        <w:tc>
          <w:tcPr>
            <w:tcW w:w="596" w:type="dxa"/>
            <w:vMerge w:val="restart"/>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w:t>
            </w:r>
          </w:p>
        </w:tc>
        <w:tc>
          <w:tcPr>
            <w:tcW w:w="1097" w:type="dxa"/>
            <w:vMerge w:val="restart"/>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商务B</w:t>
            </w:r>
          </w:p>
        </w:tc>
        <w:tc>
          <w:tcPr>
            <w:tcW w:w="2199" w:type="dxa"/>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近三年同类业绩</w:t>
            </w:r>
          </w:p>
        </w:tc>
        <w:tc>
          <w:tcPr>
            <w:tcW w:w="1097" w:type="dxa"/>
            <w:vMerge w:val="restart"/>
            <w:vAlign w:val="center"/>
          </w:tcPr>
          <w:p>
            <w:pPr>
              <w:widowControl/>
              <w:spacing w:line="240" w:lineRule="exact"/>
              <w:jc w:val="center"/>
              <w:rPr>
                <w:rFonts w:hint="eastAsia" w:ascii="宋体" w:hAnsi="宋体" w:cs="宋体"/>
                <w:b/>
                <w:bCs/>
                <w:color w:val="0000FF"/>
                <w:kern w:val="0"/>
                <w:sz w:val="18"/>
                <w:szCs w:val="18"/>
              </w:rPr>
            </w:pPr>
            <w:r>
              <w:rPr>
                <w:rFonts w:hint="eastAsia" w:ascii="宋体" w:hAnsi="宋体" w:cs="宋体"/>
                <w:b/>
                <w:bCs/>
                <w:color w:val="0000FF"/>
                <w:kern w:val="0"/>
                <w:sz w:val="18"/>
                <w:szCs w:val="18"/>
                <w:lang w:val="en-US" w:eastAsia="zh-CN"/>
              </w:rPr>
              <w:t>10</w:t>
            </w:r>
            <w:r>
              <w:rPr>
                <w:rFonts w:hint="eastAsia" w:ascii="宋体" w:hAnsi="宋体" w:cs="宋体"/>
                <w:b/>
                <w:bCs/>
                <w:color w:val="0000FF"/>
                <w:kern w:val="0"/>
                <w:sz w:val="18"/>
                <w:szCs w:val="18"/>
              </w:rPr>
              <w:t>分</w:t>
            </w:r>
          </w:p>
        </w:tc>
        <w:tc>
          <w:tcPr>
            <w:tcW w:w="10585" w:type="dxa"/>
            <w:vAlign w:val="center"/>
          </w:tcPr>
          <w:p>
            <w:pPr>
              <w:widowControl/>
              <w:tabs>
                <w:tab w:val="left" w:pos="312"/>
              </w:tabs>
              <w:spacing w:line="240" w:lineRule="exact"/>
              <w:jc w:val="left"/>
              <w:rPr>
                <w:rFonts w:hint="eastAsia" w:ascii="宋体" w:hAnsi="宋体" w:eastAsia="宋体" w:cs="宋体"/>
                <w:b/>
                <w:bCs/>
                <w:color w:val="000000"/>
                <w:kern w:val="0"/>
                <w:sz w:val="18"/>
                <w:szCs w:val="18"/>
                <w:lang w:val="en-US" w:eastAsia="zh-CN"/>
              </w:rPr>
            </w:pPr>
            <w:r>
              <w:rPr>
                <w:rFonts w:ascii="宋体" w:hAnsi="宋体" w:cs="宋体"/>
                <w:b/>
                <w:bCs/>
                <w:color w:val="000000"/>
                <w:kern w:val="0"/>
                <w:sz w:val="18"/>
                <w:szCs w:val="18"/>
              </w:rPr>
              <w:t>提供近</w:t>
            </w:r>
            <w:r>
              <w:rPr>
                <w:rFonts w:ascii="宋体" w:hAnsi="宋体" w:cs="宋体"/>
                <w:b/>
                <w:bCs/>
                <w:color w:val="0000FF"/>
                <w:kern w:val="0"/>
                <w:sz w:val="18"/>
                <w:szCs w:val="18"/>
              </w:rPr>
              <w:t>3年（2023-202</w:t>
            </w:r>
            <w:r>
              <w:rPr>
                <w:rFonts w:hint="eastAsia" w:ascii="宋体" w:hAnsi="宋体" w:cs="宋体"/>
                <w:b/>
                <w:bCs/>
                <w:color w:val="0000FF"/>
                <w:kern w:val="0"/>
                <w:sz w:val="18"/>
                <w:szCs w:val="18"/>
                <w:lang w:val="en-US" w:eastAsia="zh-CN"/>
              </w:rPr>
              <w:t>6</w:t>
            </w:r>
            <w:r>
              <w:rPr>
                <w:rFonts w:ascii="宋体" w:hAnsi="宋体" w:cs="宋体"/>
                <w:b/>
                <w:bCs/>
                <w:color w:val="0000FF"/>
                <w:kern w:val="0"/>
                <w:sz w:val="18"/>
                <w:szCs w:val="18"/>
              </w:rPr>
              <w:t>年度）</w:t>
            </w:r>
            <w:r>
              <w:rPr>
                <w:rFonts w:ascii="宋体" w:hAnsi="宋体" w:cs="宋体"/>
                <w:b/>
                <w:bCs/>
                <w:color w:val="000000"/>
                <w:kern w:val="0"/>
                <w:sz w:val="18"/>
                <w:szCs w:val="18"/>
              </w:rPr>
              <w:t>与拟招标标的</w:t>
            </w:r>
            <w:r>
              <w:rPr>
                <w:rFonts w:ascii="宋体" w:hAnsi="宋体" w:cs="宋体"/>
                <w:b/>
                <w:bCs/>
                <w:color w:val="0000FF"/>
                <w:kern w:val="0"/>
                <w:sz w:val="18"/>
                <w:szCs w:val="18"/>
              </w:rPr>
              <w:t>类似的</w:t>
            </w:r>
            <w:r>
              <w:rPr>
                <w:rFonts w:hint="eastAsia" w:ascii="宋体" w:hAnsi="宋体" w:cs="宋体"/>
                <w:b/>
                <w:bCs/>
                <w:color w:val="0000FF"/>
                <w:kern w:val="0"/>
                <w:sz w:val="18"/>
                <w:szCs w:val="18"/>
                <w:lang w:val="en-US" w:eastAsia="zh-CN"/>
              </w:rPr>
              <w:t>弱电维护</w:t>
            </w:r>
            <w:r>
              <w:rPr>
                <w:rFonts w:ascii="宋体" w:hAnsi="宋体" w:cs="宋体"/>
                <w:b/>
                <w:bCs/>
                <w:color w:val="0000FF"/>
                <w:kern w:val="0"/>
                <w:sz w:val="18"/>
                <w:szCs w:val="18"/>
              </w:rPr>
              <w:t>项目</w:t>
            </w:r>
            <w:r>
              <w:rPr>
                <w:rFonts w:ascii="宋体" w:hAnsi="宋体" w:cs="宋体"/>
                <w:b/>
                <w:bCs/>
                <w:color w:val="000000"/>
                <w:kern w:val="0"/>
                <w:sz w:val="18"/>
                <w:szCs w:val="18"/>
              </w:rPr>
              <w:t>的清单-提供相应采购合同证明（必要时隐去敏感相关项）及结算凭证（包含但不限于合同台账及对应的结算发票或付款凭证或银行转账记录等结算凭证）</w:t>
            </w:r>
            <w:r>
              <w:rPr>
                <w:rFonts w:hint="eastAsia" w:ascii="宋体" w:hAnsi="宋体" w:cs="宋体"/>
                <w:b/>
                <w:bCs/>
                <w:color w:val="0000FF"/>
                <w:kern w:val="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596" w:type="dxa"/>
            <w:vMerge w:val="continue"/>
            <w:vAlign w:val="center"/>
          </w:tcPr>
          <w:p>
            <w:pPr>
              <w:widowControl/>
              <w:spacing w:line="240" w:lineRule="exact"/>
              <w:jc w:val="center"/>
              <w:rPr>
                <w:rFonts w:hint="eastAsia" w:ascii="宋体" w:hAnsi="宋体" w:cs="宋体"/>
                <w:b/>
                <w:bCs/>
                <w:color w:val="000000"/>
                <w:kern w:val="0"/>
                <w:sz w:val="18"/>
                <w:szCs w:val="18"/>
              </w:rPr>
            </w:pPr>
            <w:bookmarkStart w:id="12" w:name="OLE_LINK59" w:colFirst="4" w:colLast="4"/>
            <w:bookmarkStart w:id="13" w:name="_Hlk223250060"/>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2199" w:type="dxa"/>
            <w:tcBorders>
              <w:bottom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14" w:name="OLE_LINK86"/>
            <w:r>
              <w:rPr>
                <w:rFonts w:ascii="宋体" w:hAnsi="宋体" w:cs="宋体"/>
                <w:b/>
                <w:bCs/>
                <w:kern w:val="0"/>
                <w:sz w:val="18"/>
                <w:szCs w:val="18"/>
              </w:rPr>
              <w:t>人员保险承诺</w:t>
            </w:r>
            <w:bookmarkEnd w:id="14"/>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585" w:type="dxa"/>
            <w:tcBorders>
              <w:bottom w:val="single" w:color="auto" w:sz="4" w:space="0"/>
            </w:tcBorders>
            <w:vAlign w:val="center"/>
          </w:tcPr>
          <w:p>
            <w:pPr>
              <w:widowControl/>
              <w:spacing w:line="240" w:lineRule="exact"/>
              <w:jc w:val="left"/>
              <w:rPr>
                <w:rFonts w:ascii="宋体" w:hAnsi="宋体" w:cs="宋体"/>
                <w:b/>
                <w:bCs/>
                <w:kern w:val="0"/>
                <w:sz w:val="18"/>
                <w:szCs w:val="18"/>
              </w:rPr>
            </w:pPr>
            <w:bookmarkStart w:id="15" w:name="OLE_LINK55"/>
            <w:r>
              <w:rPr>
                <w:rFonts w:hint="eastAsia" w:ascii="宋体" w:hAnsi="宋体" w:cs="宋体"/>
                <w:b/>
                <w:bCs/>
                <w:kern w:val="0"/>
                <w:sz w:val="18"/>
                <w:szCs w:val="18"/>
              </w:rPr>
              <w:t>根据实际情况考虑相关工程项目人员保险，提供约定保额的承诺函。（</w:t>
            </w:r>
            <w:r>
              <w:rPr>
                <w:rFonts w:hint="eastAsia" w:ascii="宋体" w:hAnsi="宋体" w:cs="宋体"/>
                <w:b/>
                <w:bCs/>
                <w:color w:val="0000FF"/>
                <w:kern w:val="0"/>
                <w:sz w:val="18"/>
                <w:szCs w:val="18"/>
                <w:lang w:val="en-US" w:eastAsia="zh-CN"/>
              </w:rPr>
              <w:t>100万元/人以下</w:t>
            </w:r>
            <w:r>
              <w:rPr>
                <w:rFonts w:hint="eastAsia" w:ascii="宋体" w:hAnsi="宋体" w:cs="宋体"/>
                <w:b/>
                <w:bCs/>
                <w:kern w:val="0"/>
                <w:sz w:val="18"/>
                <w:szCs w:val="18"/>
                <w:lang w:val="en-US" w:eastAsia="zh-CN"/>
              </w:rPr>
              <w:t>，</w:t>
            </w:r>
            <w:r>
              <w:rPr>
                <w:rFonts w:hint="eastAsia" w:ascii="宋体" w:hAnsi="宋体" w:cs="宋体"/>
                <w:b/>
                <w:bCs/>
                <w:color w:val="0000FF"/>
                <w:kern w:val="0"/>
                <w:sz w:val="18"/>
                <w:szCs w:val="18"/>
                <w:lang w:val="en-US" w:eastAsia="zh-CN"/>
              </w:rPr>
              <w:t>10</w:t>
            </w:r>
            <w:r>
              <w:rPr>
                <w:rFonts w:hint="eastAsia" w:ascii="宋体" w:hAnsi="宋体" w:cs="宋体"/>
                <w:b/>
                <w:bCs/>
                <w:color w:val="0000FF"/>
                <w:kern w:val="0"/>
                <w:sz w:val="18"/>
                <w:szCs w:val="18"/>
              </w:rPr>
              <w:t>0万元/人、1</w:t>
            </w:r>
            <w:r>
              <w:rPr>
                <w:rFonts w:hint="eastAsia" w:ascii="宋体" w:hAnsi="宋体" w:cs="宋体"/>
                <w:b/>
                <w:bCs/>
                <w:color w:val="0000FF"/>
                <w:kern w:val="0"/>
                <w:sz w:val="18"/>
                <w:szCs w:val="18"/>
                <w:lang w:val="en-US" w:eastAsia="zh-CN"/>
              </w:rPr>
              <w:t>5</w:t>
            </w:r>
            <w:r>
              <w:rPr>
                <w:rFonts w:hint="eastAsia" w:ascii="宋体" w:hAnsi="宋体" w:cs="宋体"/>
                <w:b/>
                <w:bCs/>
                <w:color w:val="0000FF"/>
                <w:kern w:val="0"/>
                <w:sz w:val="18"/>
                <w:szCs w:val="18"/>
              </w:rPr>
              <w:t>0万元/人及以上</w:t>
            </w:r>
            <w:r>
              <w:rPr>
                <w:rFonts w:hint="eastAsia" w:ascii="宋体" w:hAnsi="宋体" w:cs="宋体"/>
                <w:b/>
                <w:bCs/>
                <w:kern w:val="0"/>
                <w:sz w:val="18"/>
                <w:szCs w:val="18"/>
              </w:rPr>
              <w:t>）</w:t>
            </w:r>
          </w:p>
          <w:p>
            <w:pPr>
              <w:widowControl/>
              <w:spacing w:line="240" w:lineRule="exact"/>
              <w:jc w:val="left"/>
              <w:rPr>
                <w:rFonts w:hint="eastAsia" w:ascii="宋体" w:hAnsi="宋体" w:cs="宋体"/>
                <w:b/>
                <w:bCs/>
                <w:kern w:val="0"/>
                <w:sz w:val="18"/>
                <w:szCs w:val="18"/>
              </w:rPr>
            </w:pPr>
            <w:r>
              <w:rPr>
                <w:rFonts w:hint="eastAsia" w:ascii="宋体" w:hAnsi="宋体" w:cs="宋体"/>
                <w:b/>
                <w:bCs/>
                <w:kern w:val="0"/>
                <w:sz w:val="18"/>
                <w:szCs w:val="18"/>
              </w:rPr>
              <w:t>【可参考附件五-条款三、</w:t>
            </w:r>
            <w:bookmarkStart w:id="16" w:name="OLE_LINK51"/>
            <w:r>
              <w:rPr>
                <w:rFonts w:ascii="宋体" w:hAnsi="宋体" w:cs="宋体"/>
                <w:b/>
                <w:bCs/>
                <w:kern w:val="0"/>
                <w:sz w:val="18"/>
                <w:szCs w:val="18"/>
              </w:rPr>
              <w:t>工程项目人员保险承诺</w:t>
            </w:r>
            <w:bookmarkEnd w:id="16"/>
            <w:r>
              <w:rPr>
                <w:rFonts w:ascii="宋体" w:hAnsi="宋体" w:cs="宋体"/>
                <w:b/>
                <w:bCs/>
                <w:kern w:val="0"/>
                <w:sz w:val="18"/>
                <w:szCs w:val="18"/>
              </w:rPr>
              <w:t>及响应</w:t>
            </w:r>
            <w:r>
              <w:rPr>
                <w:rFonts w:hint="eastAsia" w:ascii="宋体" w:hAnsi="宋体" w:cs="宋体"/>
                <w:b/>
                <w:bCs/>
                <w:kern w:val="0"/>
                <w:sz w:val="18"/>
                <w:szCs w:val="18"/>
              </w:rPr>
              <w:t>填入相应的承诺保险金额并盖章确认】</w:t>
            </w:r>
            <w:bookmarkEnd w:id="15"/>
          </w:p>
        </w:tc>
      </w:tr>
      <w:bookmarkEnd w:id="11"/>
      <w:bookmarkEnd w:id="12"/>
      <w:bookmarkEnd w:id="13"/>
    </w:tbl>
    <w:p>
      <w:pPr>
        <w:spacing w:line="360" w:lineRule="auto"/>
        <w:outlineLvl w:val="2"/>
        <w:rPr>
          <w:rFonts w:hint="eastAsia" w:ascii="宋体" w:hAnsi="宋体"/>
          <w:b/>
          <w:bCs/>
          <w:color w:val="0000FF"/>
          <w:sz w:val="24"/>
          <w:szCs w:val="24"/>
        </w:rPr>
        <w:sectPr>
          <w:pgSz w:w="16838" w:h="11906" w:orient="landscape"/>
          <w:pgMar w:top="1134" w:right="1134" w:bottom="851" w:left="1134" w:header="851" w:footer="992" w:gutter="0"/>
          <w:cols w:space="425" w:num="1"/>
          <w:docGrid w:type="lines" w:linePitch="312" w:charSpace="0"/>
        </w:sectPr>
      </w:pPr>
    </w:p>
    <w:p>
      <w:pPr>
        <w:spacing w:line="360" w:lineRule="auto"/>
        <w:outlineLvl w:val="2"/>
        <w:rPr>
          <w:rFonts w:hint="eastAsia"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表二：供应商技术T审核评审项目/评分标准</w:t>
      </w:r>
    </w:p>
    <w:p>
      <w:pPr>
        <w:spacing w:line="360" w:lineRule="auto"/>
        <w:rPr>
          <w:rFonts w:hint="eastAsia" w:ascii="宋体" w:hAnsi="宋体"/>
          <w:b/>
          <w:bCs/>
          <w:color w:val="FF0000"/>
          <w:sz w:val="24"/>
          <w:szCs w:val="24"/>
        </w:rPr>
      </w:pPr>
    </w:p>
    <w:tbl>
      <w:tblPr>
        <w:tblStyle w:val="14"/>
        <w:tblW w:w="15637" w:type="dxa"/>
        <w:jc w:val="center"/>
        <w:tblInd w:w="113" w:type="dxa"/>
        <w:tblLayout w:type="fixed"/>
        <w:tblCellMar>
          <w:top w:w="0" w:type="dxa"/>
          <w:left w:w="108" w:type="dxa"/>
          <w:bottom w:w="0" w:type="dxa"/>
          <w:right w:w="108" w:type="dxa"/>
        </w:tblCellMar>
      </w:tblPr>
      <w:tblGrid>
        <w:gridCol w:w="564"/>
        <w:gridCol w:w="1135"/>
        <w:gridCol w:w="2270"/>
        <w:gridCol w:w="1132"/>
        <w:gridCol w:w="10536"/>
      </w:tblGrid>
      <w:tr>
        <w:tblPrEx>
          <w:tblLayout w:type="fixed"/>
          <w:tblCellMar>
            <w:top w:w="0" w:type="dxa"/>
            <w:left w:w="108" w:type="dxa"/>
            <w:bottom w:w="0" w:type="dxa"/>
            <w:right w:w="108" w:type="dxa"/>
          </w:tblCellMar>
        </w:tblPrEx>
        <w:trPr>
          <w:trHeight w:val="497" w:hRule="atLeast"/>
          <w:jc w:val="center"/>
        </w:trPr>
        <w:tc>
          <w:tcPr>
            <w:tcW w:w="56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40" w:lineRule="exact"/>
              <w:jc w:val="center"/>
              <w:rPr>
                <w:rFonts w:hint="eastAsia" w:ascii="宋体" w:hAnsi="宋体" w:cs="宋体"/>
                <w:b/>
                <w:bCs/>
                <w:color w:val="000000"/>
                <w:kern w:val="0"/>
                <w:sz w:val="18"/>
                <w:szCs w:val="18"/>
              </w:rPr>
            </w:pPr>
            <w:bookmarkStart w:id="17" w:name="OLE_LINK91"/>
            <w:bookmarkStart w:id="18" w:name="_Toc217295098"/>
            <w:r>
              <w:rPr>
                <w:rFonts w:hint="eastAsia" w:ascii="宋体" w:hAnsi="宋体" w:cs="宋体"/>
                <w:b/>
                <w:bCs/>
                <w:color w:val="000000"/>
                <w:kern w:val="0"/>
                <w:sz w:val="18"/>
                <w:szCs w:val="18"/>
              </w:rPr>
              <w:t>序</w:t>
            </w:r>
          </w:p>
        </w:tc>
        <w:tc>
          <w:tcPr>
            <w:tcW w:w="1135"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270"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132"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10536"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r>
              <w:rPr>
                <w:rFonts w:hint="eastAsia" w:ascii="宋体" w:hAnsi="宋体" w:cs="宋体"/>
                <w:b/>
                <w:bCs/>
                <w:color w:val="FF0000"/>
                <w:kern w:val="0"/>
                <w:sz w:val="18"/>
                <w:szCs w:val="18"/>
              </w:rPr>
              <w:t>（面向供应商）</w:t>
            </w:r>
          </w:p>
        </w:tc>
      </w:tr>
      <w:tr>
        <w:tblPrEx>
          <w:tblLayout w:type="fixed"/>
          <w:tblCellMar>
            <w:top w:w="0" w:type="dxa"/>
            <w:left w:w="108" w:type="dxa"/>
            <w:bottom w:w="0" w:type="dxa"/>
            <w:right w:w="108" w:type="dxa"/>
          </w:tblCellMar>
        </w:tblPrEx>
        <w:trPr>
          <w:trHeight w:val="387" w:hRule="atLeast"/>
          <w:jc w:val="center"/>
        </w:trPr>
        <w:tc>
          <w:tcPr>
            <w:tcW w:w="564" w:type="dxa"/>
            <w:vMerge w:val="restart"/>
            <w:tcBorders>
              <w:top w:val="single" w:color="auto" w:sz="4" w:space="0"/>
              <w:left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bookmarkStart w:id="19" w:name="_Hlk230167605"/>
            <w:bookmarkStart w:id="20" w:name="OLE_LINK78" w:colFirst="4" w:colLast="4"/>
            <w:bookmarkStart w:id="21" w:name="OLE_LINK76" w:colFirst="4" w:colLast="4"/>
            <w:r>
              <w:rPr>
                <w:rFonts w:ascii="宋体" w:hAnsi="宋体" w:cs="宋体"/>
                <w:b/>
                <w:bCs/>
                <w:color w:val="000000"/>
                <w:kern w:val="0"/>
                <w:sz w:val="18"/>
                <w:szCs w:val="18"/>
              </w:rPr>
              <w:t>2</w:t>
            </w:r>
          </w:p>
        </w:tc>
        <w:tc>
          <w:tcPr>
            <w:tcW w:w="1135" w:type="dxa"/>
            <w:vMerge w:val="restart"/>
            <w:tcBorders>
              <w:top w:val="single" w:color="auto" w:sz="4" w:space="0"/>
              <w:left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技术T</w:t>
            </w:r>
          </w:p>
        </w:tc>
        <w:tc>
          <w:tcPr>
            <w:tcW w:w="2270" w:type="dxa"/>
            <w:tcBorders>
              <w:top w:val="single" w:color="auto" w:sz="4" w:space="0"/>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运维服务整体方案</w:t>
            </w:r>
          </w:p>
        </w:tc>
        <w:tc>
          <w:tcPr>
            <w:tcW w:w="1132" w:type="dxa"/>
            <w:vMerge w:val="restart"/>
            <w:tcBorders>
              <w:top w:val="single" w:color="auto" w:sz="4" w:space="0"/>
              <w:left w:val="nil"/>
              <w:right w:val="single" w:color="auto" w:sz="4" w:space="0"/>
            </w:tcBorders>
            <w:vAlign w:val="center"/>
          </w:tcPr>
          <w:p>
            <w:pPr>
              <w:widowControl/>
              <w:spacing w:line="240" w:lineRule="exact"/>
              <w:jc w:val="center"/>
              <w:rPr>
                <w:rFonts w:hint="eastAsia" w:ascii="宋体" w:hAnsi="宋体" w:cs="宋体"/>
                <w:b/>
                <w:bCs/>
                <w:color w:val="0000FF"/>
                <w:kern w:val="0"/>
                <w:sz w:val="18"/>
                <w:szCs w:val="18"/>
              </w:rPr>
            </w:pPr>
            <w:r>
              <w:rPr>
                <w:rFonts w:hint="eastAsia" w:ascii="宋体" w:hAnsi="宋体" w:cs="宋体"/>
                <w:b/>
                <w:bCs/>
                <w:color w:val="0000FF"/>
                <w:kern w:val="0"/>
                <w:sz w:val="18"/>
                <w:szCs w:val="18"/>
                <w:lang w:val="en-US" w:eastAsia="zh-CN"/>
              </w:rPr>
              <w:t>40</w:t>
            </w:r>
            <w:r>
              <w:rPr>
                <w:rFonts w:hint="eastAsia" w:ascii="宋体" w:hAnsi="宋体" w:cs="宋体"/>
                <w:b/>
                <w:bCs/>
                <w:color w:val="0000FF"/>
                <w:kern w:val="0"/>
                <w:sz w:val="18"/>
                <w:szCs w:val="18"/>
              </w:rPr>
              <w:t>分</w:t>
            </w:r>
          </w:p>
        </w:tc>
        <w:tc>
          <w:tcPr>
            <w:tcW w:w="10536" w:type="dxa"/>
            <w:tcBorders>
              <w:top w:val="single" w:color="auto" w:sz="4" w:space="0"/>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0000FF"/>
                <w:kern w:val="0"/>
                <w:sz w:val="18"/>
                <w:szCs w:val="18"/>
                <w:lang w:val="en-US" w:eastAsia="zh-CN"/>
              </w:rPr>
            </w:pPr>
            <w:r>
              <w:rPr>
                <w:rFonts w:hint="eastAsia" w:ascii="宋体" w:hAnsi="宋体" w:eastAsia="宋体" w:cs="宋体"/>
                <w:b/>
                <w:bCs/>
                <w:color w:val="000000"/>
                <w:kern w:val="0"/>
                <w:sz w:val="18"/>
                <w:szCs w:val="18"/>
              </w:rPr>
              <w:t>提供日常维护服务实施方案（包括日常维护服务处理方案、进度管控措施、质量安全保证措施、保密措施、本项目重难点、合理化建议等）</w:t>
            </w:r>
            <w:r>
              <w:rPr>
                <w:rFonts w:hint="eastAsia" w:ascii="宋体" w:hAnsi="宋体" w:eastAsia="宋体" w:cs="宋体"/>
                <w:b/>
                <w:bCs/>
                <w:color w:val="000000"/>
                <w:kern w:val="0"/>
                <w:sz w:val="18"/>
                <w:szCs w:val="18"/>
                <w:lang w:eastAsia="zh-CN"/>
              </w:rPr>
              <w:t>。</w:t>
            </w:r>
            <w:r>
              <w:rPr>
                <w:rFonts w:hint="eastAsia" w:ascii="宋体" w:hAnsi="宋体" w:eastAsia="宋体" w:cs="宋体"/>
                <w:b/>
                <w:bCs/>
                <w:color w:val="000000"/>
                <w:kern w:val="0"/>
                <w:sz w:val="18"/>
                <w:szCs w:val="18"/>
                <w:lang w:val="en-US" w:eastAsia="zh-CN"/>
              </w:rPr>
              <w:t>如有现场踏勘，请附上现场踏勘报告（详见附件十一）。</w:t>
            </w:r>
          </w:p>
        </w:tc>
      </w:tr>
      <w:bookmarkEnd w:id="19"/>
      <w:bookmarkEnd w:id="20"/>
      <w:bookmarkEnd w:id="21"/>
      <w:tr>
        <w:tblPrEx>
          <w:tblLayout w:type="fixed"/>
          <w:tblCellMar>
            <w:top w:w="0" w:type="dxa"/>
            <w:left w:w="108" w:type="dxa"/>
            <w:bottom w:w="0" w:type="dxa"/>
            <w:right w:w="108" w:type="dxa"/>
          </w:tblCellMar>
        </w:tblPrEx>
        <w:trPr>
          <w:trHeight w:val="549" w:hRule="atLeast"/>
          <w:jc w:val="center"/>
        </w:trPr>
        <w:tc>
          <w:tcPr>
            <w:tcW w:w="564"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网络故障处置及漏洞安全防范方案</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FF0000"/>
                <w:kern w:val="0"/>
                <w:sz w:val="18"/>
                <w:szCs w:val="18"/>
              </w:rPr>
            </w:pPr>
            <w:r>
              <w:rPr>
                <w:rFonts w:hint="eastAsia" w:ascii="宋体" w:hAnsi="宋体" w:eastAsia="宋体" w:cs="宋体"/>
                <w:b/>
                <w:bCs/>
                <w:color w:val="000000"/>
                <w:kern w:val="0"/>
                <w:sz w:val="18"/>
                <w:szCs w:val="18"/>
              </w:rPr>
              <w:t>针对厂区日常运行中易发生的网络大面积拥堵、IP地址非法占用、网络资源异常抢占等常见故障，开展成因分析、风险研判并制定故障处置与安全防护整体解决方案</w:t>
            </w:r>
          </w:p>
        </w:tc>
      </w:tr>
      <w:tr>
        <w:tblPrEx>
          <w:tblLayout w:type="fixed"/>
          <w:tblCellMar>
            <w:top w:w="0" w:type="dxa"/>
            <w:left w:w="108" w:type="dxa"/>
            <w:bottom w:w="0" w:type="dxa"/>
            <w:right w:w="108" w:type="dxa"/>
          </w:tblCellMar>
        </w:tblPrEx>
        <w:trPr>
          <w:trHeight w:val="557" w:hRule="atLeast"/>
          <w:jc w:val="center"/>
        </w:trPr>
        <w:tc>
          <w:tcPr>
            <w:tcW w:w="564"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原厂专属技术支撑及故障应急保障服务</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为保障项目网络设备、安全设备、无线设备、网络桌面管理、文件管理等全品类系统在疑难故障、根源不明故障、恶意网络攻击、重大突发故障等应急故障响应，投标人须提供原厂专属技术支撑及高标准应急保障服务。</w:t>
            </w:r>
          </w:p>
          <w:p>
            <w:pPr>
              <w:pStyle w:val="15"/>
              <w:widowControl/>
              <w:wordWrap w:val="0"/>
              <w:spacing w:line="240" w:lineRule="exact"/>
              <w:ind w:firstLine="0" w:firstLineChars="0"/>
              <w:jc w:val="left"/>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①提供原厂认证工程师上门服务，投标文件提供原厂技术人员认证证书；</w:t>
            </w:r>
          </w:p>
          <w:p>
            <w:pPr>
              <w:pStyle w:val="15"/>
              <w:widowControl/>
              <w:wordWrap w:val="0"/>
              <w:spacing w:line="240" w:lineRule="exact"/>
              <w:ind w:firstLine="0" w:firstLineChars="0"/>
              <w:jc w:val="left"/>
              <w:rPr>
                <w:rFonts w:hint="eastAsia" w:ascii="宋体" w:hAnsi="宋体" w:eastAsia="宋体" w:cs="宋体"/>
                <w:b/>
                <w:bCs/>
                <w:color w:val="0000FF"/>
                <w:kern w:val="0"/>
                <w:sz w:val="18"/>
                <w:szCs w:val="18"/>
                <w:lang w:eastAsia="zh-CN"/>
              </w:rPr>
            </w:pPr>
            <w:r>
              <w:rPr>
                <w:rFonts w:hint="eastAsia" w:ascii="宋体" w:hAnsi="宋体" w:eastAsia="宋体" w:cs="宋体"/>
                <w:b/>
                <w:bCs/>
                <w:color w:val="000000"/>
                <w:kern w:val="0"/>
                <w:sz w:val="18"/>
                <w:szCs w:val="18"/>
              </w:rPr>
              <w:t>②提供书面承诺：原厂认证工程师 2个小时内必须到达现场排查故障原因，8个小时内解决故障，若因客观原因8个小时内无法修复故障需提供配置相当的设备应急处理，保证8小时内系统正常运行，提供7*24小时原厂驻场服务。承诺书格式自拟</w:t>
            </w:r>
            <w:r>
              <w:rPr>
                <w:rFonts w:hint="eastAsia" w:ascii="宋体" w:hAnsi="宋体" w:eastAsia="宋体" w:cs="宋体"/>
                <w:b/>
                <w:bCs/>
                <w:color w:val="000000"/>
                <w:kern w:val="0"/>
                <w:sz w:val="18"/>
                <w:szCs w:val="18"/>
                <w:lang w:eastAsia="zh-CN"/>
              </w:rPr>
              <w:t>。</w:t>
            </w:r>
          </w:p>
        </w:tc>
      </w:tr>
      <w:tr>
        <w:tblPrEx>
          <w:tblLayout w:type="fixed"/>
          <w:tblCellMar>
            <w:top w:w="0" w:type="dxa"/>
            <w:left w:w="108" w:type="dxa"/>
            <w:bottom w:w="0" w:type="dxa"/>
            <w:right w:w="108" w:type="dxa"/>
          </w:tblCellMar>
        </w:tblPrEx>
        <w:trPr>
          <w:trHeight w:val="557" w:hRule="atLeast"/>
          <w:jc w:val="center"/>
        </w:trPr>
        <w:tc>
          <w:tcPr>
            <w:tcW w:w="564"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重要设备原厂售后服务</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0000FF"/>
                <w:kern w:val="0"/>
                <w:sz w:val="18"/>
                <w:szCs w:val="18"/>
              </w:rPr>
            </w:pPr>
            <w:r>
              <w:rPr>
                <w:rFonts w:hint="eastAsia" w:ascii="宋体" w:hAnsi="宋体" w:eastAsia="宋体" w:cs="宋体"/>
                <w:b/>
                <w:bCs/>
                <w:color w:val="000000"/>
                <w:kern w:val="0"/>
                <w:sz w:val="18"/>
                <w:szCs w:val="18"/>
              </w:rPr>
              <w:t>投标人须针对本项目招标清单中的设备，统一提供由设备生产厂商出具的、针对本项目的正式售后服务承诺书，设备范围包含：网络设备（交换机、光模块、路由器）、无线设备（无线NAP、无线控制器、集群管理控制器）、安全设备（VPN设备、上网行为管理、安全出口设备）、停车场管理设备（道闸主机、访客机）、门禁设备（单门控制器）、UPS设备（UPS电源、UPS电池、UPS监控通信模块）、机房精密空调设备（机房精密空调、精密空调监控通信模块）、网络桌面管理系统（桌管软件、文档操作管控、文件加密）。</w:t>
            </w:r>
          </w:p>
        </w:tc>
      </w:tr>
      <w:tr>
        <w:tblPrEx>
          <w:tblLayout w:type="fixed"/>
          <w:tblCellMar>
            <w:top w:w="0" w:type="dxa"/>
            <w:left w:w="108" w:type="dxa"/>
            <w:bottom w:w="0" w:type="dxa"/>
            <w:right w:w="108" w:type="dxa"/>
          </w:tblCellMar>
        </w:tblPrEx>
        <w:trPr>
          <w:trHeight w:val="707" w:hRule="atLeast"/>
          <w:jc w:val="center"/>
        </w:trPr>
        <w:tc>
          <w:tcPr>
            <w:tcW w:w="564"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left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项目经理实力</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1、提供项目负责人的情况【包含但不限于姓名、性别、年龄、职务、专业、从业年限、职称资格信息、近3年的网络、安防、音频三类相关项目履历等信息】</w:t>
            </w:r>
          </w:p>
          <w:p>
            <w:pPr>
              <w:widowControl/>
              <w:wordWrap w:val="0"/>
              <w:spacing w:line="240" w:lineRule="exact"/>
              <w:jc w:val="left"/>
              <w:rPr>
                <w:rFonts w:hint="eastAsia" w:ascii="宋体" w:hAnsi="宋体" w:cs="宋体"/>
                <w:b/>
                <w:bCs/>
                <w:color w:val="0000FF"/>
                <w:kern w:val="0"/>
                <w:sz w:val="18"/>
                <w:szCs w:val="18"/>
              </w:rPr>
            </w:pPr>
            <w:r>
              <w:rPr>
                <w:rFonts w:hint="eastAsia" w:ascii="宋体" w:hAnsi="宋体" w:cs="宋体"/>
                <w:b/>
                <w:bCs/>
                <w:color w:val="000000"/>
                <w:kern w:val="0"/>
                <w:sz w:val="18"/>
                <w:szCs w:val="18"/>
              </w:rPr>
              <w:t>2、提供项目负责人投标截止时间前连续三个月(不含投标截止时间的当月)在投标方单位为其缴纳的社保证明材料；</w:t>
            </w:r>
          </w:p>
        </w:tc>
      </w:tr>
      <w:tr>
        <w:tblPrEx>
          <w:tblLayout w:type="fixed"/>
          <w:tblCellMar>
            <w:top w:w="0" w:type="dxa"/>
            <w:left w:w="108" w:type="dxa"/>
            <w:bottom w:w="0" w:type="dxa"/>
            <w:right w:w="108" w:type="dxa"/>
          </w:tblCellMar>
        </w:tblPrEx>
        <w:trPr>
          <w:trHeight w:val="707" w:hRule="atLeast"/>
          <w:jc w:val="center"/>
        </w:trPr>
        <w:tc>
          <w:tcPr>
            <w:tcW w:w="564" w:type="dxa"/>
            <w:vMerge w:val="continue"/>
            <w:tcBorders>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single" w:color="auto" w:sz="4" w:space="0"/>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维护服务团队实力</w:t>
            </w:r>
          </w:p>
        </w:tc>
        <w:tc>
          <w:tcPr>
            <w:tcW w:w="1132" w:type="dxa"/>
            <w:vMerge w:val="continue"/>
            <w:tcBorders>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single" w:color="auto" w:sz="4" w:space="0"/>
              <w:left w:val="nil"/>
              <w:bottom w:val="single" w:color="auto" w:sz="4" w:space="0"/>
              <w:right w:val="single" w:color="auto" w:sz="4" w:space="0"/>
            </w:tcBorders>
            <w:vAlign w:val="center"/>
          </w:tcPr>
          <w:p>
            <w:pPr>
              <w:widowControl/>
              <w:wordWrap w:val="0"/>
              <w:spacing w:line="240" w:lineRule="exact"/>
              <w:jc w:val="left"/>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rPr>
              <w:t>1、提供配备的维护服务人员持有</w:t>
            </w:r>
            <w:r>
              <w:rPr>
                <w:rFonts w:hint="eastAsia" w:ascii="宋体" w:hAnsi="宋体" w:cs="宋体"/>
                <w:b/>
                <w:bCs/>
                <w:color w:val="000000"/>
                <w:kern w:val="0"/>
                <w:sz w:val="18"/>
                <w:szCs w:val="18"/>
                <w:lang w:val="en-US" w:eastAsia="zh-CN"/>
              </w:rPr>
              <w:t>证书资料；</w:t>
            </w:r>
          </w:p>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2、提供项目负责人投标截止时间前连续三个月(不含投标截止时间的当月)在投标方单位为其缴纳的社保证明材料；</w:t>
            </w:r>
          </w:p>
        </w:tc>
      </w:tr>
      <w:bookmarkEnd w:id="17"/>
    </w:tbl>
    <w:p>
      <w:pPr>
        <w:widowControl/>
        <w:spacing w:line="360" w:lineRule="auto"/>
        <w:jc w:val="left"/>
        <w:rPr>
          <w:rFonts w:hint="eastAsia" w:ascii="宋体" w:hAnsi="宋体"/>
          <w:b/>
          <w:bCs/>
          <w:color w:val="0000FF"/>
          <w:sz w:val="24"/>
          <w:szCs w:val="24"/>
        </w:rPr>
      </w:pPr>
    </w:p>
    <w:p>
      <w:pPr>
        <w:widowControl/>
        <w:spacing w:line="360" w:lineRule="auto"/>
        <w:jc w:val="left"/>
        <w:outlineLvl w:val="2"/>
        <w:rPr>
          <w:rFonts w:hint="eastAsia" w:ascii="宋体" w:hAnsi="宋体"/>
          <w:b/>
          <w:bCs/>
          <w:color w:val="0000FF"/>
          <w:sz w:val="24"/>
          <w:szCs w:val="24"/>
        </w:rPr>
        <w:sectPr>
          <w:pgSz w:w="16838" w:h="11906" w:orient="landscape"/>
          <w:pgMar w:top="1134" w:right="1134" w:bottom="851" w:left="1134" w:header="851" w:footer="992" w:gutter="0"/>
          <w:cols w:space="425" w:num="1"/>
          <w:docGrid w:type="lines" w:linePitch="312" w:charSpace="0"/>
        </w:sectPr>
      </w:pPr>
    </w:p>
    <w:p>
      <w:pPr>
        <w:widowControl/>
        <w:spacing w:line="360" w:lineRule="auto"/>
        <w:jc w:val="left"/>
        <w:outlineLvl w:val="2"/>
        <w:rPr>
          <w:rFonts w:hint="eastAsia" w:ascii="宋体" w:hAnsi="宋体"/>
          <w:b/>
          <w:bCs/>
          <w:color w:val="000000" w:themeColor="text1"/>
          <w:sz w:val="24"/>
          <w:szCs w:val="24"/>
          <w14:textFill>
            <w14:solidFill>
              <w14:schemeClr w14:val="tx1"/>
            </w14:solidFill>
          </w14:textFill>
        </w:rPr>
      </w:pPr>
      <w:bookmarkStart w:id="22" w:name="OLE_LINK11"/>
      <w:r>
        <w:rPr>
          <w:rFonts w:hint="eastAsia" w:ascii="宋体" w:hAnsi="宋体"/>
          <w:b/>
          <w:bCs/>
          <w:color w:val="000000" w:themeColor="text1"/>
          <w:sz w:val="24"/>
          <w:szCs w:val="24"/>
          <w14:textFill>
            <w14:solidFill>
              <w14:schemeClr w14:val="tx1"/>
            </w14:solidFill>
          </w14:textFill>
        </w:rPr>
        <w:t>表三：供应商价格C评审项目/评分标准</w:t>
      </w:r>
      <w:bookmarkEnd w:id="18"/>
      <w:bookmarkEnd w:id="22"/>
    </w:p>
    <w:p>
      <w:pPr>
        <w:widowControl/>
        <w:spacing w:line="360" w:lineRule="auto"/>
        <w:jc w:val="left"/>
        <w:rPr>
          <w:rFonts w:hint="eastAsia" w:ascii="宋体" w:hAnsi="宋体"/>
          <w:b/>
          <w:bCs/>
          <w:color w:val="FF0000"/>
          <w:sz w:val="24"/>
          <w:szCs w:val="24"/>
        </w:rPr>
      </w:pPr>
    </w:p>
    <w:tbl>
      <w:tblPr>
        <w:tblStyle w:val="14"/>
        <w:tblW w:w="15647" w:type="dxa"/>
        <w:jc w:val="center"/>
        <w:tblInd w:w="250" w:type="dxa"/>
        <w:tblLayout w:type="fixed"/>
        <w:tblCellMar>
          <w:top w:w="0" w:type="dxa"/>
          <w:left w:w="108" w:type="dxa"/>
          <w:bottom w:w="0" w:type="dxa"/>
          <w:right w:w="108" w:type="dxa"/>
        </w:tblCellMar>
      </w:tblPr>
      <w:tblGrid>
        <w:gridCol w:w="539"/>
        <w:gridCol w:w="1134"/>
        <w:gridCol w:w="2268"/>
        <w:gridCol w:w="1134"/>
        <w:gridCol w:w="5835"/>
        <w:gridCol w:w="4737"/>
      </w:tblGrid>
      <w:tr>
        <w:tblPrEx>
          <w:tblLayout w:type="fixed"/>
          <w:tblCellMar>
            <w:top w:w="0" w:type="dxa"/>
            <w:left w:w="108" w:type="dxa"/>
            <w:bottom w:w="0" w:type="dxa"/>
            <w:right w:w="108" w:type="dxa"/>
          </w:tblCellMar>
        </w:tblPrEx>
        <w:trPr>
          <w:trHeight w:val="451" w:hRule="atLeast"/>
          <w:jc w:val="center"/>
        </w:trPr>
        <w:tc>
          <w:tcPr>
            <w:tcW w:w="539"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ascii="宋体" w:hAnsi="宋体" w:cs="宋体"/>
                <w:b/>
                <w:bCs/>
                <w:color w:val="000000"/>
                <w:kern w:val="0"/>
                <w:sz w:val="18"/>
                <w:szCs w:val="18"/>
              </w:rPr>
            </w:pPr>
            <w:bookmarkStart w:id="23" w:name="OLE_LINK92"/>
            <w:r>
              <w:rPr>
                <w:rFonts w:hint="eastAsia" w:ascii="宋体" w:hAnsi="宋体" w:cs="宋体"/>
                <w:b/>
                <w:bCs/>
                <w:color w:val="000000"/>
                <w:kern w:val="0"/>
                <w:sz w:val="18"/>
                <w:szCs w:val="18"/>
              </w:rPr>
              <w:t>序</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5835" w:type="dxa"/>
            <w:tcBorders>
              <w:top w:val="single" w:color="auto" w:sz="4" w:space="0"/>
              <w:left w:val="nil"/>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评审标准</w:t>
            </w:r>
          </w:p>
        </w:tc>
        <w:tc>
          <w:tcPr>
            <w:tcW w:w="4737"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r>
              <w:rPr>
                <w:rFonts w:hint="eastAsia" w:ascii="宋体" w:hAnsi="宋体" w:cs="宋体"/>
                <w:b/>
                <w:bCs/>
                <w:color w:val="FF0000"/>
                <w:kern w:val="0"/>
                <w:sz w:val="18"/>
                <w:szCs w:val="18"/>
              </w:rPr>
              <w:t>（面向供应商）</w:t>
            </w:r>
          </w:p>
        </w:tc>
      </w:tr>
      <w:tr>
        <w:tblPrEx>
          <w:tblLayout w:type="fixed"/>
          <w:tblCellMar>
            <w:top w:w="0" w:type="dxa"/>
            <w:left w:w="108" w:type="dxa"/>
            <w:bottom w:w="0" w:type="dxa"/>
            <w:right w:w="108" w:type="dxa"/>
          </w:tblCellMar>
        </w:tblPrEx>
        <w:trPr>
          <w:trHeight w:val="19"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24" w:name="_Hlk216870764"/>
            <w:r>
              <w:rPr>
                <w:rFonts w:ascii="宋体" w:hAnsi="宋体" w:cs="宋体"/>
                <w:b/>
                <w:bCs/>
                <w:color w:val="000000"/>
                <w:kern w:val="0"/>
                <w:sz w:val="18"/>
                <w:szCs w:val="18"/>
              </w:rPr>
              <w:t>3</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价格C</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25" w:name="OLE_LINK85"/>
            <w:r>
              <w:rPr>
                <w:rFonts w:hint="eastAsia" w:ascii="宋体" w:hAnsi="宋体" w:cs="宋体"/>
                <w:b/>
                <w:bCs/>
                <w:color w:val="000000"/>
                <w:kern w:val="0"/>
                <w:sz w:val="18"/>
                <w:szCs w:val="18"/>
              </w:rPr>
              <w:t>项目总价及工程量清单价格</w:t>
            </w:r>
            <w:bookmarkEnd w:id="25"/>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FF"/>
                <w:kern w:val="0"/>
                <w:sz w:val="18"/>
                <w:szCs w:val="18"/>
              </w:rPr>
            </w:pPr>
            <w:r>
              <w:rPr>
                <w:rFonts w:hint="eastAsia" w:ascii="宋体" w:hAnsi="宋体" w:cs="宋体"/>
                <w:b/>
                <w:bCs/>
                <w:color w:val="0000FF"/>
                <w:kern w:val="0"/>
                <w:sz w:val="18"/>
                <w:szCs w:val="18"/>
                <w:lang w:val="en-US" w:eastAsia="zh-CN"/>
              </w:rPr>
              <w:t>5</w:t>
            </w:r>
            <w:r>
              <w:rPr>
                <w:rFonts w:hint="eastAsia" w:ascii="宋体" w:hAnsi="宋体" w:cs="宋体"/>
                <w:b/>
                <w:bCs/>
                <w:color w:val="0000FF"/>
                <w:kern w:val="0"/>
                <w:sz w:val="18"/>
                <w:szCs w:val="18"/>
              </w:rPr>
              <w:t>0分</w:t>
            </w:r>
          </w:p>
        </w:tc>
        <w:tc>
          <w:tcPr>
            <w:tcW w:w="5835" w:type="dxa"/>
            <w:tcBorders>
              <w:top w:val="single" w:color="auto" w:sz="4" w:space="0"/>
              <w:left w:val="nil"/>
              <w:bottom w:val="single" w:color="auto" w:sz="4" w:space="0"/>
              <w:right w:val="single" w:color="auto" w:sz="4" w:space="0"/>
            </w:tcBorders>
            <w:vAlign w:val="center"/>
          </w:tcPr>
          <w:p>
            <w:pPr>
              <w:widowControl/>
              <w:wordWrap w:val="0"/>
              <w:spacing w:line="240" w:lineRule="exact"/>
              <w:jc w:val="left"/>
              <w:rPr>
                <w:rFonts w:hint="eastAsia" w:ascii="宋体" w:hAnsi="宋体" w:cs="宋体"/>
                <w:b/>
                <w:bCs/>
                <w:color w:val="0000FF"/>
                <w:kern w:val="0"/>
                <w:sz w:val="18"/>
                <w:szCs w:val="18"/>
              </w:rPr>
            </w:pPr>
            <w:r>
              <w:rPr>
                <w:rFonts w:hint="eastAsia" w:ascii="宋体" w:hAnsi="宋体" w:cs="宋体"/>
                <w:b/>
                <w:bCs/>
                <w:color w:val="0000FF"/>
                <w:kern w:val="0"/>
                <w:sz w:val="18"/>
                <w:szCs w:val="18"/>
                <w:lang w:val="en-US" w:eastAsia="zh-CN"/>
              </w:rPr>
              <w:t>比值法</w:t>
            </w:r>
          </w:p>
          <w:p>
            <w:pPr>
              <w:widowControl/>
              <w:wordWrap w:val="0"/>
              <w:spacing w:line="240" w:lineRule="exact"/>
              <w:jc w:val="left"/>
              <w:rPr>
                <w:rFonts w:hint="eastAsia" w:ascii="宋体" w:hAnsi="宋体" w:cs="宋体"/>
                <w:b/>
                <w:bCs/>
                <w:color w:val="0000FF"/>
                <w:kern w:val="0"/>
                <w:sz w:val="18"/>
                <w:szCs w:val="18"/>
              </w:rPr>
            </w:pPr>
            <w:r>
              <w:rPr>
                <w:rFonts w:hint="eastAsia" w:ascii="宋体" w:hAnsi="宋体" w:cs="宋体"/>
                <w:b/>
                <w:bCs/>
                <w:color w:val="000000"/>
                <w:kern w:val="0"/>
                <w:sz w:val="18"/>
                <w:szCs w:val="18"/>
              </w:rPr>
              <w:t>满足招标文件要求且投标价格最低的投标报价作为评标基准价，其价格分为满分，投标报价得分=（评标基准价/投标报价）*价格满分</w:t>
            </w:r>
          </w:p>
        </w:tc>
        <w:tc>
          <w:tcPr>
            <w:tcW w:w="473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r>
              <w:rPr>
                <w:rFonts w:hint="eastAsia" w:ascii="宋体" w:hAnsi="宋体" w:cs="宋体"/>
                <w:b/>
                <w:bCs/>
                <w:color w:val="0000FF"/>
                <w:kern w:val="0"/>
                <w:sz w:val="18"/>
                <w:szCs w:val="18"/>
              </w:rPr>
              <w:t>含税</w:t>
            </w:r>
            <w:r>
              <w:rPr>
                <w:rFonts w:hint="eastAsia" w:ascii="宋体" w:hAnsi="宋体" w:cs="宋体"/>
                <w:b/>
                <w:bCs/>
                <w:color w:val="000000"/>
                <w:kern w:val="0"/>
                <w:sz w:val="18"/>
                <w:szCs w:val="18"/>
              </w:rPr>
              <w:t>）</w:t>
            </w:r>
          </w:p>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p>
            <w:pPr>
              <w:widowControl/>
              <w:spacing w:line="240" w:lineRule="exact"/>
              <w:jc w:val="left"/>
              <w:rPr>
                <w:rFonts w:hint="eastAsia" w:ascii="宋体" w:hAnsi="宋体" w:cs="宋体"/>
                <w:b/>
                <w:bCs/>
                <w:color w:val="000000"/>
                <w:kern w:val="0"/>
                <w:sz w:val="18"/>
                <w:szCs w:val="18"/>
              </w:rPr>
            </w:pPr>
            <w:r>
              <w:rPr>
                <w:rFonts w:hint="eastAsia" w:ascii="等线" w:hAnsi="等线" w:eastAsia="等线" w:cs="宋体"/>
                <w:b/>
                <w:bCs/>
                <w:color w:val="FF0000"/>
                <w:kern w:val="0"/>
                <w:sz w:val="18"/>
                <w:szCs w:val="18"/>
              </w:rPr>
              <w:t>★</w:t>
            </w:r>
            <w:r>
              <w:rPr>
                <w:rFonts w:hint="eastAsia" w:ascii="宋体" w:hAnsi="宋体" w:cs="宋体"/>
                <w:b/>
                <w:bCs/>
                <w:color w:val="FF0000"/>
                <w:kern w:val="0"/>
                <w:sz w:val="18"/>
                <w:szCs w:val="18"/>
              </w:rPr>
              <w:t>必须提供工程量报价清单（详见《</w:t>
            </w:r>
            <w:r>
              <w:rPr>
                <w:rFonts w:ascii="宋体" w:hAnsi="宋体" w:cs="宋体"/>
                <w:b/>
                <w:bCs/>
                <w:color w:val="FF0000"/>
                <w:kern w:val="0"/>
                <w:sz w:val="18"/>
                <w:szCs w:val="18"/>
              </w:rPr>
              <w:t>附件</w:t>
            </w:r>
            <w:r>
              <w:rPr>
                <w:rFonts w:hint="eastAsia" w:ascii="宋体" w:hAnsi="宋体" w:cs="宋体"/>
                <w:b/>
                <w:bCs/>
                <w:color w:val="FF0000"/>
                <w:kern w:val="0"/>
                <w:sz w:val="18"/>
                <w:szCs w:val="18"/>
                <w:lang w:val="en-US" w:eastAsia="zh-CN"/>
              </w:rPr>
              <w:t>1</w:t>
            </w:r>
            <w:r>
              <w:rPr>
                <w:rFonts w:ascii="宋体" w:hAnsi="宋体" w:cs="宋体"/>
                <w:b/>
                <w:bCs/>
                <w:color w:val="FF0000"/>
                <w:kern w:val="0"/>
                <w:sz w:val="18"/>
                <w:szCs w:val="18"/>
              </w:rPr>
              <w:t>-</w:t>
            </w:r>
            <w:r>
              <w:rPr>
                <w:rFonts w:hint="eastAsia" w:ascii="宋体" w:hAnsi="宋体" w:cs="宋体"/>
                <w:b/>
                <w:bCs/>
                <w:color w:val="FF0000"/>
                <w:kern w:val="0"/>
                <w:sz w:val="18"/>
                <w:szCs w:val="18"/>
              </w:rPr>
              <w:t>金龙厂区弱电系统年度维护服务清单）</w:t>
            </w:r>
          </w:p>
          <w:bookmarkEnd w:id="24"/>
        </w:tc>
      </w:tr>
      <w:bookmarkEnd w:id="23"/>
    </w:tbl>
    <w:p>
      <w:pPr>
        <w:rPr>
          <w:rFonts w:hint="eastAsia" w:ascii="等线" w:hAnsi="等线" w:eastAsia="等线"/>
          <w:b/>
          <w:bCs/>
          <w:sz w:val="18"/>
          <w:szCs w:val="18"/>
        </w:rPr>
      </w:pPr>
      <w:bookmarkStart w:id="26" w:name="_GoBack"/>
      <w:bookmarkEnd w:id="26"/>
    </w:p>
    <w:sectPr>
      <w:pgSz w:w="16838" w:h="11906" w:orient="landscape"/>
      <w:pgMar w:top="1134"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
      <w:lvlText w:val="%3"/>
      <w:lvlJc w:val="left"/>
      <w:pPr>
        <w:ind w:left="0" w:firstLine="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5004"/>
    <w:rsid w:val="0005690C"/>
    <w:rsid w:val="0006225D"/>
    <w:rsid w:val="00086BF8"/>
    <w:rsid w:val="0009445B"/>
    <w:rsid w:val="000A2ABB"/>
    <w:rsid w:val="000B0B65"/>
    <w:rsid w:val="000B2A32"/>
    <w:rsid w:val="000C3DB0"/>
    <w:rsid w:val="000D3FB3"/>
    <w:rsid w:val="000E090D"/>
    <w:rsid w:val="000E6041"/>
    <w:rsid w:val="000F4A51"/>
    <w:rsid w:val="000F5427"/>
    <w:rsid w:val="00105477"/>
    <w:rsid w:val="001132DF"/>
    <w:rsid w:val="00142E42"/>
    <w:rsid w:val="00143264"/>
    <w:rsid w:val="0014563B"/>
    <w:rsid w:val="00161C70"/>
    <w:rsid w:val="00172A27"/>
    <w:rsid w:val="00196C64"/>
    <w:rsid w:val="001C34FE"/>
    <w:rsid w:val="001D336D"/>
    <w:rsid w:val="001D6087"/>
    <w:rsid w:val="001E00C0"/>
    <w:rsid w:val="00200525"/>
    <w:rsid w:val="002134F3"/>
    <w:rsid w:val="00214B8E"/>
    <w:rsid w:val="00223A26"/>
    <w:rsid w:val="00223B7B"/>
    <w:rsid w:val="00230B74"/>
    <w:rsid w:val="002442EE"/>
    <w:rsid w:val="00275DE6"/>
    <w:rsid w:val="002C4FA0"/>
    <w:rsid w:val="002E74D2"/>
    <w:rsid w:val="002F4E44"/>
    <w:rsid w:val="003148B5"/>
    <w:rsid w:val="00321756"/>
    <w:rsid w:val="003536BD"/>
    <w:rsid w:val="00365639"/>
    <w:rsid w:val="00382ADE"/>
    <w:rsid w:val="003855FD"/>
    <w:rsid w:val="00385C1C"/>
    <w:rsid w:val="00393AF6"/>
    <w:rsid w:val="003E1717"/>
    <w:rsid w:val="0042263E"/>
    <w:rsid w:val="004226BD"/>
    <w:rsid w:val="004369AD"/>
    <w:rsid w:val="004622C9"/>
    <w:rsid w:val="004647BB"/>
    <w:rsid w:val="00464AFF"/>
    <w:rsid w:val="004A5A99"/>
    <w:rsid w:val="004D34D3"/>
    <w:rsid w:val="0051567C"/>
    <w:rsid w:val="00517577"/>
    <w:rsid w:val="00520ABA"/>
    <w:rsid w:val="005529F3"/>
    <w:rsid w:val="00560705"/>
    <w:rsid w:val="00577294"/>
    <w:rsid w:val="005A3146"/>
    <w:rsid w:val="005A590D"/>
    <w:rsid w:val="005C3CA5"/>
    <w:rsid w:val="005C6EAE"/>
    <w:rsid w:val="005E5FA8"/>
    <w:rsid w:val="005F54F8"/>
    <w:rsid w:val="00617A00"/>
    <w:rsid w:val="00627020"/>
    <w:rsid w:val="00635479"/>
    <w:rsid w:val="00654F9A"/>
    <w:rsid w:val="00654FEB"/>
    <w:rsid w:val="00661D39"/>
    <w:rsid w:val="006943B1"/>
    <w:rsid w:val="006958A2"/>
    <w:rsid w:val="006A250F"/>
    <w:rsid w:val="006B6A7B"/>
    <w:rsid w:val="006F7293"/>
    <w:rsid w:val="00703983"/>
    <w:rsid w:val="00723765"/>
    <w:rsid w:val="007242A9"/>
    <w:rsid w:val="00724CE0"/>
    <w:rsid w:val="007344EA"/>
    <w:rsid w:val="00746192"/>
    <w:rsid w:val="00770154"/>
    <w:rsid w:val="00773E90"/>
    <w:rsid w:val="007A1BA8"/>
    <w:rsid w:val="007A2321"/>
    <w:rsid w:val="007A32BB"/>
    <w:rsid w:val="007A7EBB"/>
    <w:rsid w:val="007B5EAE"/>
    <w:rsid w:val="007E72ED"/>
    <w:rsid w:val="007F7DC7"/>
    <w:rsid w:val="00837E10"/>
    <w:rsid w:val="008450B7"/>
    <w:rsid w:val="00852DB8"/>
    <w:rsid w:val="00862DA9"/>
    <w:rsid w:val="00871A69"/>
    <w:rsid w:val="00892C81"/>
    <w:rsid w:val="009051D8"/>
    <w:rsid w:val="00935728"/>
    <w:rsid w:val="00956A02"/>
    <w:rsid w:val="0098516E"/>
    <w:rsid w:val="00985317"/>
    <w:rsid w:val="009A5EB9"/>
    <w:rsid w:val="009B0972"/>
    <w:rsid w:val="009B742A"/>
    <w:rsid w:val="009C48CE"/>
    <w:rsid w:val="009F1404"/>
    <w:rsid w:val="00A23D2B"/>
    <w:rsid w:val="00A352E4"/>
    <w:rsid w:val="00A646A2"/>
    <w:rsid w:val="00A67251"/>
    <w:rsid w:val="00A953E3"/>
    <w:rsid w:val="00AB2F20"/>
    <w:rsid w:val="00AB56D8"/>
    <w:rsid w:val="00AD7822"/>
    <w:rsid w:val="00B06412"/>
    <w:rsid w:val="00B540EA"/>
    <w:rsid w:val="00B55276"/>
    <w:rsid w:val="00B737BA"/>
    <w:rsid w:val="00BA3827"/>
    <w:rsid w:val="00BB16E0"/>
    <w:rsid w:val="00BB45F0"/>
    <w:rsid w:val="00BE1AA5"/>
    <w:rsid w:val="00BF6E8D"/>
    <w:rsid w:val="00C17EF4"/>
    <w:rsid w:val="00C22353"/>
    <w:rsid w:val="00C26D29"/>
    <w:rsid w:val="00C3109C"/>
    <w:rsid w:val="00C31999"/>
    <w:rsid w:val="00C3537D"/>
    <w:rsid w:val="00C4193C"/>
    <w:rsid w:val="00C41956"/>
    <w:rsid w:val="00C57249"/>
    <w:rsid w:val="00CA2B21"/>
    <w:rsid w:val="00CB25DB"/>
    <w:rsid w:val="00CB5CB7"/>
    <w:rsid w:val="00CC409F"/>
    <w:rsid w:val="00CF7EB6"/>
    <w:rsid w:val="00D02256"/>
    <w:rsid w:val="00D1191E"/>
    <w:rsid w:val="00D34B45"/>
    <w:rsid w:val="00D3603E"/>
    <w:rsid w:val="00D36837"/>
    <w:rsid w:val="00D43C43"/>
    <w:rsid w:val="00D44D39"/>
    <w:rsid w:val="00D52215"/>
    <w:rsid w:val="00D54667"/>
    <w:rsid w:val="00D55399"/>
    <w:rsid w:val="00D60116"/>
    <w:rsid w:val="00D973F5"/>
    <w:rsid w:val="00DB2073"/>
    <w:rsid w:val="00DE75AF"/>
    <w:rsid w:val="00E425AA"/>
    <w:rsid w:val="00E44D16"/>
    <w:rsid w:val="00E91FEB"/>
    <w:rsid w:val="00EA09AD"/>
    <w:rsid w:val="00EA4FE3"/>
    <w:rsid w:val="00EB1A34"/>
    <w:rsid w:val="00EE06F4"/>
    <w:rsid w:val="00EE3E81"/>
    <w:rsid w:val="00F0184F"/>
    <w:rsid w:val="00F01F45"/>
    <w:rsid w:val="00F26B3B"/>
    <w:rsid w:val="00F30C33"/>
    <w:rsid w:val="00F467AD"/>
    <w:rsid w:val="00F66A1B"/>
    <w:rsid w:val="00F8763E"/>
    <w:rsid w:val="00F9656E"/>
    <w:rsid w:val="00FA6120"/>
    <w:rsid w:val="00FB031B"/>
    <w:rsid w:val="00FB1B5D"/>
    <w:rsid w:val="00FB1D21"/>
    <w:rsid w:val="00FB60F2"/>
    <w:rsid w:val="00FC0368"/>
    <w:rsid w:val="022551BE"/>
    <w:rsid w:val="02BF0A2C"/>
    <w:rsid w:val="06F5062F"/>
    <w:rsid w:val="0F365ABF"/>
    <w:rsid w:val="21C63D5C"/>
    <w:rsid w:val="232573B5"/>
    <w:rsid w:val="28D64C70"/>
    <w:rsid w:val="2A9A6A3F"/>
    <w:rsid w:val="2C9C69E0"/>
    <w:rsid w:val="2CE360C1"/>
    <w:rsid w:val="308560FA"/>
    <w:rsid w:val="40394773"/>
    <w:rsid w:val="464A4625"/>
    <w:rsid w:val="482960B1"/>
    <w:rsid w:val="5B606120"/>
    <w:rsid w:val="643C6F6D"/>
    <w:rsid w:val="65303FB8"/>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1">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1"/>
    <w:qFormat/>
    <w:uiPriority w:val="0"/>
    <w:pPr>
      <w:tabs>
        <w:tab w:val="left" w:pos="560"/>
        <w:tab w:val="left" w:pos="3920"/>
        <w:tab w:val="left" w:pos="5600"/>
      </w:tabs>
      <w:ind w:firstLine="480"/>
      <w:textAlignment w:val="baseline"/>
    </w:pPr>
  </w:style>
  <w:style w:type="paragraph" w:styleId="4">
    <w:name w:val="annotation subject"/>
    <w:basedOn w:val="5"/>
    <w:next w:val="5"/>
    <w:link w:val="23"/>
    <w:qFormat/>
    <w:uiPriority w:val="0"/>
    <w:rPr>
      <w:b/>
      <w:bCs/>
    </w:rPr>
  </w:style>
  <w:style w:type="paragraph" w:styleId="5">
    <w:name w:val="annotation text"/>
    <w:basedOn w:val="1"/>
    <w:link w:val="22"/>
    <w:qFormat/>
    <w:uiPriority w:val="0"/>
    <w:pPr>
      <w:jc w:val="left"/>
    </w:pPr>
  </w:style>
  <w:style w:type="paragraph" w:styleId="6">
    <w:name w:val="Body Text"/>
    <w:basedOn w:val="1"/>
    <w:unhideWhenUsed/>
    <w:qFormat/>
    <w:uiPriority w:val="99"/>
    <w:pPr>
      <w:spacing w:line="380" w:lineRule="exact"/>
    </w:pPr>
    <w:rPr>
      <w:rFonts w:ascii="Times New Roman" w:hAnsi="Times New Roman"/>
      <w:sz w:val="24"/>
    </w:rPr>
  </w:style>
  <w:style w:type="paragraph" w:styleId="7">
    <w:name w:val="Balloon Text"/>
    <w:basedOn w:val="1"/>
    <w:link w:val="27"/>
    <w:uiPriority w:val="0"/>
    <w:rPr>
      <w:sz w:val="18"/>
      <w:szCs w:val="18"/>
    </w:rPr>
  </w:style>
  <w:style w:type="paragraph" w:styleId="8">
    <w:name w:val="footer"/>
    <w:basedOn w:val="1"/>
    <w:link w:val="25"/>
    <w:uiPriority w:val="0"/>
    <w:pPr>
      <w:tabs>
        <w:tab w:val="center" w:pos="4153"/>
        <w:tab w:val="right" w:pos="8306"/>
      </w:tabs>
      <w:snapToGrid w:val="0"/>
      <w:jc w:val="left"/>
    </w:pPr>
    <w:rPr>
      <w:sz w:val="18"/>
      <w:szCs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character" w:styleId="12">
    <w:name w:val="Hyperlink"/>
    <w:basedOn w:val="11"/>
    <w:qFormat/>
    <w:uiPriority w:val="0"/>
    <w:rPr>
      <w:color w:val="0563C1" w:themeColor="hyperlink"/>
      <w:u w:val="single"/>
      <w14:textFill>
        <w14:solidFill>
          <w14:schemeClr w14:val="hlink"/>
        </w14:solidFill>
      </w14:textFill>
    </w:rPr>
  </w:style>
  <w:style w:type="character" w:styleId="13">
    <w:name w:val="annotation reference"/>
    <w:basedOn w:val="11"/>
    <w:qFormat/>
    <w:uiPriority w:val="0"/>
    <w:rPr>
      <w:sz w:val="21"/>
      <w:szCs w:val="21"/>
    </w:rPr>
  </w:style>
  <w:style w:type="paragraph" w:styleId="15">
    <w:name w:val="List Paragraph"/>
    <w:basedOn w:val="1"/>
    <w:qFormat/>
    <w:uiPriority w:val="34"/>
    <w:pPr>
      <w:ind w:firstLine="420" w:firstLineChars="200"/>
    </w:pPr>
    <w:rPr>
      <w:rFonts w:ascii="Times New Roman" w:hAnsi="Times New Roman"/>
      <w:sz w:val="24"/>
      <w:szCs w:val="24"/>
    </w:rPr>
  </w:style>
  <w:style w:type="character" w:customStyle="1" w:styleId="16">
    <w:name w:val="font71"/>
    <w:basedOn w:val="11"/>
    <w:qFormat/>
    <w:uiPriority w:val="0"/>
    <w:rPr>
      <w:rFonts w:hint="eastAsia" w:ascii="宋体" w:hAnsi="宋体" w:eastAsia="宋体" w:cs="宋体"/>
      <w:color w:val="000000"/>
      <w:sz w:val="20"/>
      <w:szCs w:val="20"/>
      <w:u w:val="none"/>
    </w:rPr>
  </w:style>
  <w:style w:type="character" w:customStyle="1" w:styleId="17">
    <w:name w:val="font101"/>
    <w:basedOn w:val="11"/>
    <w:qFormat/>
    <w:uiPriority w:val="0"/>
    <w:rPr>
      <w:rFonts w:hint="eastAsia" w:ascii="宋体" w:hAnsi="宋体" w:eastAsia="宋体" w:cs="宋体"/>
      <w:color w:val="auto"/>
      <w:sz w:val="20"/>
      <w:szCs w:val="20"/>
      <w:u w:val="none"/>
    </w:rPr>
  </w:style>
  <w:style w:type="character" w:customStyle="1" w:styleId="18">
    <w:name w:val="font61"/>
    <w:basedOn w:val="11"/>
    <w:qFormat/>
    <w:uiPriority w:val="0"/>
    <w:rPr>
      <w:rFonts w:hint="eastAsia" w:ascii="宋体" w:hAnsi="宋体" w:eastAsia="宋体" w:cs="宋体"/>
      <w:color w:val="000000"/>
      <w:sz w:val="20"/>
      <w:szCs w:val="20"/>
      <w:u w:val="none"/>
    </w:rPr>
  </w:style>
  <w:style w:type="character" w:customStyle="1" w:styleId="19">
    <w:name w:val="font81"/>
    <w:basedOn w:val="11"/>
    <w:qFormat/>
    <w:uiPriority w:val="0"/>
    <w:rPr>
      <w:rFonts w:hint="eastAsia" w:ascii="宋体" w:hAnsi="宋体" w:eastAsia="宋体" w:cs="宋体"/>
      <w:b/>
      <w:color w:val="1F497D"/>
      <w:sz w:val="20"/>
      <w:szCs w:val="20"/>
      <w:u w:val="none"/>
    </w:rPr>
  </w:style>
  <w:style w:type="character" w:customStyle="1" w:styleId="20">
    <w:name w:val="font91"/>
    <w:basedOn w:val="11"/>
    <w:qFormat/>
    <w:uiPriority w:val="0"/>
    <w:rPr>
      <w:rFonts w:hint="eastAsia" w:ascii="宋体" w:hAnsi="宋体" w:eastAsia="宋体" w:cs="宋体"/>
      <w:b/>
      <w:color w:val="FF0000"/>
      <w:sz w:val="20"/>
      <w:szCs w:val="20"/>
      <w:u w:val="none"/>
    </w:rPr>
  </w:style>
  <w:style w:type="character" w:customStyle="1" w:styleId="21">
    <w:name w:val="font51"/>
    <w:basedOn w:val="11"/>
    <w:qFormat/>
    <w:uiPriority w:val="0"/>
    <w:rPr>
      <w:rFonts w:hint="eastAsia" w:ascii="宋体" w:hAnsi="宋体" w:eastAsia="宋体" w:cs="宋体"/>
      <w:color w:val="000000"/>
      <w:sz w:val="20"/>
      <w:szCs w:val="20"/>
      <w:u w:val="none"/>
    </w:rPr>
  </w:style>
  <w:style w:type="character" w:customStyle="1" w:styleId="22">
    <w:name w:val="批注文字 字符"/>
    <w:basedOn w:val="11"/>
    <w:link w:val="5"/>
    <w:qFormat/>
    <w:uiPriority w:val="0"/>
    <w:rPr>
      <w:rFonts w:ascii="Calibri" w:hAnsi="Calibri"/>
      <w:kern w:val="2"/>
      <w:sz w:val="21"/>
      <w:szCs w:val="22"/>
    </w:rPr>
  </w:style>
  <w:style w:type="character" w:customStyle="1" w:styleId="23">
    <w:name w:val="批注主题 字符"/>
    <w:basedOn w:val="22"/>
    <w:link w:val="4"/>
    <w:qFormat/>
    <w:uiPriority w:val="0"/>
    <w:rPr>
      <w:rFonts w:ascii="Calibri" w:hAnsi="Calibri"/>
      <w:b/>
      <w:bCs/>
      <w:kern w:val="2"/>
      <w:sz w:val="21"/>
      <w:szCs w:val="22"/>
    </w:rPr>
  </w:style>
  <w:style w:type="character" w:customStyle="1" w:styleId="24">
    <w:name w:val="页眉 字符"/>
    <w:basedOn w:val="11"/>
    <w:link w:val="9"/>
    <w:qFormat/>
    <w:uiPriority w:val="0"/>
    <w:rPr>
      <w:rFonts w:ascii="Calibri" w:hAnsi="Calibri"/>
      <w:kern w:val="2"/>
      <w:sz w:val="18"/>
      <w:szCs w:val="18"/>
    </w:rPr>
  </w:style>
  <w:style w:type="character" w:customStyle="1" w:styleId="25">
    <w:name w:val="页脚 字符"/>
    <w:basedOn w:val="11"/>
    <w:link w:val="8"/>
    <w:qFormat/>
    <w:uiPriority w:val="0"/>
    <w:rPr>
      <w:rFonts w:ascii="Calibri" w:hAnsi="Calibri"/>
      <w:kern w:val="2"/>
      <w:sz w:val="18"/>
      <w:szCs w:val="18"/>
    </w:rPr>
  </w:style>
  <w:style w:type="character" w:customStyle="1" w:styleId="26">
    <w:name w:val="Unresolved Mention"/>
    <w:basedOn w:val="11"/>
    <w:semiHidden/>
    <w:unhideWhenUsed/>
    <w:qFormat/>
    <w:uiPriority w:val="99"/>
    <w:rPr>
      <w:color w:val="605E5C"/>
      <w:shd w:val="clear" w:color="auto" w:fill="E1DFDD"/>
    </w:rPr>
  </w:style>
  <w:style w:type="character" w:customStyle="1" w:styleId="27">
    <w:name w:val="批注框文本 字符"/>
    <w:basedOn w:val="11"/>
    <w:link w:val="7"/>
    <w:qFormat/>
    <w:uiPriority w:val="0"/>
    <w:rPr>
      <w:rFonts w:ascii="Calibri" w:hAnsi="Calibri"/>
      <w:kern w:val="2"/>
      <w:sz w:val="18"/>
      <w:szCs w:val="18"/>
    </w:rPr>
  </w:style>
  <w:style w:type="paragraph" w:customStyle="1" w:styleId="28">
    <w:name w:val="_Style 26"/>
    <w:basedOn w:val="1"/>
    <w:next w:val="15"/>
    <w:qFormat/>
    <w:uiPriority w:val="34"/>
    <w:pPr>
      <w:ind w:firstLine="420" w:firstLineChars="200"/>
    </w:pPr>
    <w:rPr>
      <w:rFonts w:ascii="等线" w:hAnsi="等线" w:eastAsia="等线"/>
    </w:rPr>
  </w:style>
  <w:style w:type="paragraph" w:customStyle="1" w:styleId="29">
    <w:name w:val="_Style 27"/>
    <w:basedOn w:val="1"/>
    <w:next w:val="15"/>
    <w:qFormat/>
    <w:uiPriority w:val="34"/>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477</Words>
  <Characters>2722</Characters>
  <Lines>22</Lines>
  <Paragraphs>6</Paragraphs>
  <TotalTime>0</TotalTime>
  <ScaleCrop>false</ScaleCrop>
  <LinksUpToDate>false</LinksUpToDate>
  <CharactersWithSpaces>3193</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2026-05-20T04:12:00Z</dcterms:created>
  <dc:creator>chenyaohui</dc:creator>
  <cp:lastModifiedBy>chenyaohui</cp:lastModifiedBy>
  <dcterms:modified xsi:type="dcterms:W3CDTF">2026-08-18T05:06:57Z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